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601B1" w14:textId="77777777" w:rsidR="001D5002" w:rsidRDefault="00B870AB">
      <w:pPr>
        <w:ind w:left="4536"/>
        <w:jc w:val="both"/>
        <w:rPr>
          <w:rFonts w:ascii="Arial" w:eastAsia="Arial" w:hAnsi="Arial" w:cs="Arial"/>
        </w:rPr>
      </w:pPr>
      <w:r>
        <w:rPr>
          <w:rFonts w:ascii="Arial" w:eastAsia="Arial" w:hAnsi="Arial" w:cs="Arial"/>
          <w:b/>
          <w:bCs/>
        </w:rPr>
        <w:t xml:space="preserve">COMISIÓN PERMANENTE DE PUNTOS CONSTITUCIONALES Y GOBERNACIÓN. </w:t>
      </w:r>
      <w:r>
        <w:rPr>
          <w:rFonts w:ascii="Arial" w:eastAsia="Arial" w:hAnsi="Arial" w:cs="Arial"/>
        </w:rPr>
        <w:t xml:space="preserve">DIPUTADAS Y DIPUTADOS: MARIO ALEJANDRO CUEVAS MENA, CLAUDIA ESTEFANÍA BAEZA MARTÍNEZ, JOSÉ JULIÁN BUSTILLOS MEDINA, ROGER JOSÉ TORRES PENICHE, WILMER MANUEL MONFORTE MARFIL, NAOMI RAQUEL PENICHE LÓPEZ, GASPAR ARMANDO QUINTAL PARRA, JAVIER RENÁN OSANTE SOLÍS Y RAFAEL GERMÁN QUINTAL MEDINA. - - - - - - - - - - - - - -- - - </w:t>
      </w:r>
    </w:p>
    <w:p w14:paraId="626BE899" w14:textId="77777777" w:rsidR="001D5002" w:rsidRDefault="001D5002">
      <w:pPr>
        <w:spacing w:line="360" w:lineRule="auto"/>
        <w:jc w:val="both"/>
        <w:rPr>
          <w:rFonts w:ascii="Arial" w:eastAsia="Arial" w:hAnsi="Arial" w:cs="Arial"/>
          <w:color w:val="000000"/>
        </w:rPr>
      </w:pPr>
    </w:p>
    <w:p w14:paraId="60C714D0" w14:textId="77777777" w:rsidR="001D5002" w:rsidRDefault="00B870AB">
      <w:pPr>
        <w:spacing w:line="360" w:lineRule="auto"/>
        <w:ind w:right="62"/>
        <w:jc w:val="both"/>
        <w:rPr>
          <w:rFonts w:ascii="Arial" w:eastAsia="Arial" w:hAnsi="Arial" w:cs="Arial"/>
        </w:rPr>
      </w:pPr>
      <w:r>
        <w:rPr>
          <w:rFonts w:ascii="Arial" w:eastAsia="Arial" w:hAnsi="Arial" w:cs="Arial"/>
        </w:rPr>
        <w:t>En sesiones de Diputación Permanente y de Pleno del Congreso del Estado de Yucatán, se turnaron a esta Comisión Permanente de Puntos Constitucionales y Gobernación tres iniciativas para su estudio, análisis y dictamen: la primera:</w:t>
      </w:r>
      <w:r>
        <w:t xml:space="preserve"> </w:t>
      </w:r>
      <w:r>
        <w:rPr>
          <w:rFonts w:ascii="Arial" w:eastAsia="Arial" w:hAnsi="Arial" w:cs="Arial"/>
          <w:i/>
          <w:iCs/>
        </w:rPr>
        <w:t>Iniciativa con proyecto de decreto por el que se reforman, adicionan y derogan diversas disposiciones de la Ley de Gobierno del Poder Legislativo del Estado de Yucatán y el Reglamento de Ley de Gobierno del Poder Legislativo del Estado de Yucatán, en materia de economía procesal</w:t>
      </w:r>
      <w:r>
        <w:rPr>
          <w:rFonts w:ascii="Arial" w:eastAsia="Arial" w:hAnsi="Arial" w:cs="Arial"/>
        </w:rPr>
        <w:t xml:space="preserve">, turnada en de sesión de Diputación Permanente celebrada el día veintiocho de enero de dos mil veinticinco; la segunda, </w:t>
      </w:r>
      <w:r>
        <w:rPr>
          <w:rFonts w:ascii="Arial" w:eastAsia="Arial" w:hAnsi="Arial" w:cs="Arial"/>
          <w:i/>
          <w:iCs/>
        </w:rPr>
        <w:t>Iniciativa con Proyecto de Decreto por el que se reforma el Artículo 43 de la Ley de Gobierno del Poder Legislativo del Estado de Yucatán, en su fracción XI</w:t>
      </w:r>
      <w:r w:rsidR="00BA747B">
        <w:rPr>
          <w:rFonts w:ascii="Arial" w:eastAsia="Arial" w:hAnsi="Arial" w:cs="Arial"/>
          <w:i/>
          <w:iCs/>
        </w:rPr>
        <w:t>I</w:t>
      </w:r>
      <w:r>
        <w:rPr>
          <w:rFonts w:ascii="Arial" w:eastAsia="Arial" w:hAnsi="Arial" w:cs="Arial"/>
          <w:i/>
          <w:iCs/>
        </w:rPr>
        <w:t>I (décima tercera), así como el primer párrafo de dicha fracción, para cambio de su nomenclatura</w:t>
      </w:r>
      <w:r>
        <w:rPr>
          <w:rFonts w:ascii="Arial" w:eastAsia="Arial" w:hAnsi="Arial" w:cs="Arial"/>
        </w:rPr>
        <w:t xml:space="preserve">, turnada en sesión ordinaria celebrada el día seis de noviembre de dos mil veinticuatro; y la tercera, </w:t>
      </w:r>
      <w:r>
        <w:rPr>
          <w:rFonts w:ascii="Arial" w:eastAsia="Arial" w:hAnsi="Arial" w:cs="Arial"/>
          <w:i/>
          <w:iCs/>
        </w:rPr>
        <w:tab/>
        <w:t>Iniciativa con Proyecto de Decreto por el que se modifique el nombre de la Comisión Permanente De Juventud, Cultura Física y Deporte al de Juventudes, Cultura Física Y Deporte</w:t>
      </w:r>
      <w:r>
        <w:rPr>
          <w:rFonts w:ascii="Arial" w:eastAsia="Arial" w:hAnsi="Arial" w:cs="Arial"/>
        </w:rPr>
        <w:t xml:space="preserve">, turnada en sesión ordinaria celebrada el día cuatro de diciembre de dos mil veinticuatro. Estas fueron presentadas, en orden respectivo, la primera, por el Diputado Wilmer Manuel Monforte Marfil en representación de la Fracción Legislativa del Partido Morena y las representaciones legislativas del Partido del Trabajo y el Partido Verde Ecologista de México, la segunda por la Diputada Neyda </w:t>
      </w:r>
      <w:r>
        <w:rPr>
          <w:rFonts w:ascii="Arial" w:eastAsia="Arial" w:hAnsi="Arial" w:cs="Arial"/>
        </w:rPr>
        <w:lastRenderedPageBreak/>
        <w:t>Aracelly Pat Dzul, integrante de la Fracción Legislativa de Morena, y  la tercera por la Diputada Itzel Falla Uribe, integrante de la Fracción Legislativa del Partido Acción Nacional, todos integrantes de la LXIV Legislatura del Congreso del Estado de Yucatán.</w:t>
      </w:r>
    </w:p>
    <w:p w14:paraId="50766A98" w14:textId="77777777" w:rsidR="001D5002" w:rsidRDefault="001D5002">
      <w:pPr>
        <w:spacing w:line="360" w:lineRule="auto"/>
        <w:ind w:right="62"/>
        <w:jc w:val="both"/>
        <w:rPr>
          <w:rFonts w:ascii="Arial" w:eastAsia="Arial" w:hAnsi="Arial" w:cs="Arial"/>
        </w:rPr>
      </w:pPr>
    </w:p>
    <w:p w14:paraId="69E42CCC"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Las y los diputados integrantes de esta Comisión Permanente, en los trabajos de estudio y análisis de las iniciativas antes mencionadas, tomamos en consideración los siguientes,</w:t>
      </w:r>
    </w:p>
    <w:p w14:paraId="7197774E" w14:textId="77777777" w:rsidR="001D5002" w:rsidRDefault="001D5002">
      <w:pPr>
        <w:spacing w:line="360" w:lineRule="auto"/>
        <w:ind w:firstLine="708"/>
        <w:jc w:val="both"/>
        <w:rPr>
          <w:rFonts w:ascii="Arial" w:eastAsia="Arial" w:hAnsi="Arial" w:cs="Arial"/>
          <w:color w:val="000000"/>
        </w:rPr>
      </w:pPr>
    </w:p>
    <w:p w14:paraId="5AC8EC70" w14:textId="77777777" w:rsidR="001D5002" w:rsidRPr="00790A19" w:rsidRDefault="00B870AB">
      <w:pPr>
        <w:spacing w:line="360" w:lineRule="auto"/>
        <w:ind w:right="759" w:firstLine="708"/>
        <w:jc w:val="center"/>
        <w:rPr>
          <w:rFonts w:ascii="Arial" w:eastAsia="Arial" w:hAnsi="Arial" w:cs="Arial"/>
          <w:color w:val="000000"/>
          <w:lang w:val="de-DE"/>
        </w:rPr>
      </w:pPr>
      <w:r w:rsidRPr="00790A19">
        <w:rPr>
          <w:rFonts w:ascii="Arial" w:eastAsia="Arial" w:hAnsi="Arial" w:cs="Arial"/>
          <w:b/>
          <w:bCs/>
          <w:color w:val="000000"/>
          <w:lang w:val="de-DE"/>
        </w:rPr>
        <w:t>A N T E C E D E N T E S</w:t>
      </w:r>
    </w:p>
    <w:p w14:paraId="69235D53" w14:textId="77777777" w:rsidR="001D5002" w:rsidRPr="00790A19" w:rsidRDefault="001D5002">
      <w:pPr>
        <w:spacing w:line="360" w:lineRule="auto"/>
        <w:jc w:val="center"/>
        <w:rPr>
          <w:rFonts w:ascii="Arial" w:eastAsia="Arial" w:hAnsi="Arial" w:cs="Arial"/>
          <w:color w:val="000000"/>
          <w:lang w:val="de-DE"/>
        </w:rPr>
      </w:pPr>
    </w:p>
    <w:p w14:paraId="0CC034CA" w14:textId="77777777" w:rsidR="001D5002" w:rsidRDefault="00B870AB">
      <w:pPr>
        <w:spacing w:line="360" w:lineRule="auto"/>
        <w:jc w:val="both"/>
        <w:rPr>
          <w:rFonts w:ascii="Arial" w:eastAsia="Arial" w:hAnsi="Arial" w:cs="Arial"/>
          <w:color w:val="000000"/>
        </w:rPr>
      </w:pPr>
      <w:r>
        <w:rPr>
          <w:rFonts w:ascii="Arial" w:eastAsia="Arial" w:hAnsi="Arial" w:cs="Arial"/>
          <w:b/>
          <w:bCs/>
          <w:color w:val="000000"/>
        </w:rPr>
        <w:t xml:space="preserve">PRIMERO. </w:t>
      </w:r>
      <w:r>
        <w:rPr>
          <w:rFonts w:ascii="Arial" w:eastAsia="Arial" w:hAnsi="Arial" w:cs="Arial"/>
          <w:color w:val="000000"/>
        </w:rPr>
        <w:t>En fecha cuatro de octubre del año dos mil diez, se publicó en el Diario Oficial del Gobierno del Estado de Yucatán, la Ley de Gobierno del Poder Legislativo del Estado de Yucatán, cuyo objeto es el de establecer las atribuciones, estructura orgánica y funcionamiento del Poder Legislativo, de conformidad con lo dispuesto en el título cuarto de la Constitución Política del Estado de Yucatán.</w:t>
      </w:r>
    </w:p>
    <w:p w14:paraId="44B5D19F" w14:textId="77777777" w:rsidR="001D5002" w:rsidRDefault="001D5002">
      <w:pPr>
        <w:spacing w:line="360" w:lineRule="auto"/>
        <w:jc w:val="both"/>
        <w:rPr>
          <w:rFonts w:ascii="Arial" w:eastAsia="Arial" w:hAnsi="Arial" w:cs="Arial"/>
          <w:color w:val="000000"/>
        </w:rPr>
      </w:pPr>
    </w:p>
    <w:p w14:paraId="0E3788FF"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Dicha Ley de Gobierno del Poder Legislativo, ha tenido diversas reformas en los últimos años, las cuales se han enfocado en dotar de certeza y seguridad jurídica a las y los integrantes del Poder Legislativo, así como a los integrantes del Pleno del Congreso del Estado en el estudio y análisis de iniciativas y asuntos que por competencia le corresponden a la máxima asamblea local.</w:t>
      </w:r>
    </w:p>
    <w:p w14:paraId="038F5603" w14:textId="77777777" w:rsidR="001D5002" w:rsidRDefault="001D5002">
      <w:pPr>
        <w:spacing w:line="360" w:lineRule="auto"/>
        <w:jc w:val="both"/>
        <w:rPr>
          <w:rFonts w:ascii="Arial" w:eastAsia="Arial" w:hAnsi="Arial" w:cs="Arial"/>
          <w:color w:val="000000"/>
        </w:rPr>
      </w:pPr>
    </w:p>
    <w:p w14:paraId="2CE36D7C" w14:textId="77777777" w:rsidR="001D5002" w:rsidRDefault="00B870AB">
      <w:pPr>
        <w:spacing w:line="360" w:lineRule="auto"/>
        <w:jc w:val="both"/>
        <w:rPr>
          <w:rFonts w:ascii="Arial" w:eastAsia="Arial" w:hAnsi="Arial" w:cs="Arial"/>
          <w:color w:val="000000"/>
        </w:rPr>
      </w:pPr>
      <w:r>
        <w:rPr>
          <w:rFonts w:ascii="Arial" w:eastAsia="Arial" w:hAnsi="Arial" w:cs="Arial"/>
          <w:b/>
          <w:bCs/>
          <w:color w:val="000000"/>
        </w:rPr>
        <w:t xml:space="preserve">SEGUNDO. </w:t>
      </w:r>
      <w:r>
        <w:rPr>
          <w:rFonts w:ascii="Arial" w:eastAsia="Arial" w:hAnsi="Arial" w:cs="Arial"/>
          <w:color w:val="000000"/>
        </w:rPr>
        <w:t xml:space="preserve">El primero de diciembre del año dos mil once, fue publicado el Reglamento de la Ley de Gobierno del Poder Legislativo del Estado de Yucatán. Dicho reglamento tiene el objetivo de regular la actividad legislativa en el Congreso del Estado de Yucatán, así como establecer los procedimientos internos que hagan eficiente su </w:t>
      </w:r>
      <w:r>
        <w:rPr>
          <w:rFonts w:ascii="Arial" w:eastAsia="Arial" w:hAnsi="Arial" w:cs="Arial"/>
          <w:color w:val="000000"/>
        </w:rPr>
        <w:lastRenderedPageBreak/>
        <w:t>estructura y funcionamiento. El reglamento mencionado, ha sufrido diversas reformas, siendo la última en el mes de octubre del año dos mil veintitrés.</w:t>
      </w:r>
    </w:p>
    <w:p w14:paraId="2BEBF0F6" w14:textId="77777777" w:rsidR="001D5002" w:rsidRDefault="001D5002">
      <w:pPr>
        <w:spacing w:line="360" w:lineRule="auto"/>
        <w:jc w:val="both"/>
        <w:rPr>
          <w:rFonts w:ascii="Arial" w:eastAsia="Arial" w:hAnsi="Arial" w:cs="Arial"/>
          <w:color w:val="000000"/>
        </w:rPr>
      </w:pPr>
    </w:p>
    <w:p w14:paraId="1587C8B7" w14:textId="77777777" w:rsidR="001D5002" w:rsidRDefault="00B870AB">
      <w:pPr>
        <w:spacing w:line="360" w:lineRule="auto"/>
        <w:jc w:val="both"/>
        <w:rPr>
          <w:rFonts w:ascii="Arial" w:eastAsia="Arial" w:hAnsi="Arial" w:cs="Arial"/>
          <w:color w:val="000000"/>
        </w:rPr>
      </w:pPr>
      <w:r>
        <w:rPr>
          <w:rFonts w:ascii="Arial" w:eastAsia="Arial" w:hAnsi="Arial" w:cs="Arial"/>
          <w:b/>
          <w:bCs/>
          <w:color w:val="000000"/>
        </w:rPr>
        <w:t xml:space="preserve">TERCERO. </w:t>
      </w:r>
      <w:r>
        <w:rPr>
          <w:rFonts w:ascii="Arial" w:eastAsia="Arial" w:hAnsi="Arial" w:cs="Arial"/>
        </w:rPr>
        <w:t xml:space="preserve">En fecha dieciséis de enero de dos mil veinticinco, el Diputado Wilmer Manuel Monforte Marfil, coordinador de la fracción legislativa del Partido Morena, presentó ante la Secretaría General de este H. Congreso la </w:t>
      </w:r>
      <w:r>
        <w:rPr>
          <w:rFonts w:ascii="Arial" w:eastAsia="Arial" w:hAnsi="Arial" w:cs="Arial"/>
          <w:i/>
          <w:iCs/>
        </w:rPr>
        <w:t xml:space="preserve">Iniciativa con Proyecto de Decreto </w:t>
      </w:r>
      <w:r>
        <w:rPr>
          <w:rFonts w:ascii="Arial" w:eastAsia="Arial" w:hAnsi="Arial" w:cs="Arial"/>
          <w:i/>
          <w:iCs/>
          <w:color w:val="000000"/>
        </w:rPr>
        <w:t>por el que se reforman, adicionan y derogan diversas disposiciones de la Ley de Gobierno del Poder Legislativo del Estado de Yucatán y el Reglamento de la Ley de Gobierno del Poder Legislativo del Estado de Yucatán</w:t>
      </w:r>
      <w:r>
        <w:rPr>
          <w:rFonts w:ascii="Arial" w:eastAsia="Arial" w:hAnsi="Arial" w:cs="Arial"/>
          <w:color w:val="000000"/>
        </w:rPr>
        <w:t xml:space="preserve">, </w:t>
      </w:r>
      <w:r>
        <w:rPr>
          <w:rFonts w:ascii="Arial" w:eastAsia="Arial" w:hAnsi="Arial" w:cs="Arial"/>
          <w:i/>
          <w:iCs/>
          <w:color w:val="000000"/>
        </w:rPr>
        <w:t>en materia de economía procesal</w:t>
      </w:r>
      <w:r>
        <w:rPr>
          <w:rFonts w:ascii="Arial" w:eastAsia="Arial" w:hAnsi="Arial" w:cs="Arial"/>
          <w:color w:val="000000"/>
        </w:rPr>
        <w:t xml:space="preserve">, </w:t>
      </w:r>
      <w:r>
        <w:rPr>
          <w:rFonts w:ascii="Arial" w:eastAsia="Arial" w:hAnsi="Arial" w:cs="Arial"/>
        </w:rPr>
        <w:t>en representación de la Fracción Legislativa del Partido Morena y por los representantes legislativos del Partido del Trabajo y el Partido Verde Ecologista de México</w:t>
      </w:r>
      <w:r w:rsidR="00BA747B">
        <w:rPr>
          <w:rFonts w:ascii="Arial" w:eastAsia="Arial" w:hAnsi="Arial" w:cs="Arial"/>
        </w:rPr>
        <w:t>.</w:t>
      </w:r>
    </w:p>
    <w:p w14:paraId="152BC290" w14:textId="77777777" w:rsidR="001D5002" w:rsidRDefault="001D5002">
      <w:pPr>
        <w:spacing w:line="360" w:lineRule="auto"/>
        <w:jc w:val="both"/>
        <w:rPr>
          <w:rFonts w:ascii="Arial" w:eastAsia="Arial" w:hAnsi="Arial" w:cs="Arial"/>
          <w:color w:val="000000"/>
        </w:rPr>
      </w:pPr>
    </w:p>
    <w:p w14:paraId="4AD3DCFD"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Las y los suscritos legisladores nos permitimos señalar la exposición de motivos de la iniciativa antes mencionada, siendo la siguiente:</w:t>
      </w:r>
    </w:p>
    <w:p w14:paraId="3CD1A51C" w14:textId="77777777" w:rsidR="001D5002" w:rsidRDefault="001D5002">
      <w:pPr>
        <w:ind w:left="709" w:right="901"/>
        <w:jc w:val="both"/>
        <w:rPr>
          <w:rFonts w:ascii="Arial" w:eastAsia="Arial" w:hAnsi="Arial" w:cs="Arial"/>
          <w:color w:val="000000"/>
          <w:sz w:val="22"/>
          <w:szCs w:val="22"/>
        </w:rPr>
      </w:pPr>
    </w:p>
    <w:p w14:paraId="51B7FCC9" w14:textId="77777777" w:rsidR="001D5002" w:rsidRDefault="00B870AB">
      <w:pPr>
        <w:ind w:left="709" w:right="901"/>
        <w:jc w:val="both"/>
        <w:rPr>
          <w:rFonts w:ascii="Arial" w:eastAsia="Arial" w:hAnsi="Arial" w:cs="Arial"/>
          <w:sz w:val="20"/>
          <w:szCs w:val="20"/>
        </w:rPr>
      </w:pPr>
      <w:r>
        <w:rPr>
          <w:rFonts w:ascii="Arial" w:eastAsia="Arial" w:hAnsi="Arial" w:cs="Arial"/>
          <w:i/>
          <w:iCs/>
          <w:sz w:val="20"/>
          <w:szCs w:val="20"/>
        </w:rPr>
        <w:t>“El federalismo, es el principio rector sobre el cual se estructura nuestra nación garantizando un equilibrio dinámico entre el gobierno central y los estados que integran la República. Este modelo de organización política ha permitido que cada entidad federativa conserve su autonomía, su capacidad normativa y su soberanía en el ámbito de sus competencias, contribuyendo al desarrollo de un México plural y representativo.</w:t>
      </w:r>
    </w:p>
    <w:p w14:paraId="1A698E27" w14:textId="77777777" w:rsidR="001D5002" w:rsidRDefault="001D5002">
      <w:pPr>
        <w:ind w:left="709" w:right="901"/>
        <w:jc w:val="both"/>
        <w:rPr>
          <w:rFonts w:ascii="Arial" w:eastAsia="Arial" w:hAnsi="Arial" w:cs="Arial"/>
          <w:sz w:val="20"/>
          <w:szCs w:val="20"/>
        </w:rPr>
      </w:pPr>
    </w:p>
    <w:p w14:paraId="5E7F2D8E"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En el marco del federalismo mexicano, las reformas constitucionales ocupan un lugar primordial en la evolución de nuestro marco normativo, ya que permiten, a través del Honorable Congreso de la Unión, adaptar nuestra Carta Magna a los desafíos cambiantes de la sociedad. Para ello, el artículo 135° de la Constitución Política de los Estados Unidos Mexicanos establece un procedimiento en el que confluyen la voluntad del Congreso de la Unión y la aprobación mayoritaria de las legislaturas estatales.</w:t>
      </w:r>
    </w:p>
    <w:p w14:paraId="5003940D" w14:textId="77777777" w:rsidR="001D5002" w:rsidRDefault="00B870AB">
      <w:pPr>
        <w:ind w:left="1416" w:right="901"/>
        <w:jc w:val="both"/>
        <w:rPr>
          <w:rFonts w:ascii="Arial" w:eastAsia="Arial" w:hAnsi="Arial" w:cs="Arial"/>
          <w:sz w:val="18"/>
          <w:szCs w:val="18"/>
        </w:rPr>
      </w:pPr>
      <w:r>
        <w:rPr>
          <w:rFonts w:ascii="Arial" w:eastAsia="Arial" w:hAnsi="Arial" w:cs="Arial"/>
          <w:i/>
          <w:iCs/>
          <w:sz w:val="18"/>
          <w:szCs w:val="18"/>
        </w:rPr>
        <w:t xml:space="preserve"> </w:t>
      </w:r>
    </w:p>
    <w:p w14:paraId="34538D0B" w14:textId="77777777" w:rsidR="001D5002" w:rsidRDefault="00B870AB">
      <w:pPr>
        <w:ind w:left="1416" w:right="901"/>
        <w:jc w:val="both"/>
        <w:rPr>
          <w:rFonts w:ascii="Arial" w:eastAsia="Arial" w:hAnsi="Arial" w:cs="Arial"/>
          <w:sz w:val="18"/>
          <w:szCs w:val="18"/>
        </w:rPr>
      </w:pPr>
      <w:r>
        <w:rPr>
          <w:rFonts w:ascii="Arial" w:eastAsia="Arial" w:hAnsi="Arial" w:cs="Arial"/>
          <w:b/>
          <w:bCs/>
          <w:i/>
          <w:iCs/>
          <w:sz w:val="18"/>
          <w:szCs w:val="18"/>
        </w:rPr>
        <w:t>“Artículo 135</w:t>
      </w:r>
      <w:r>
        <w:rPr>
          <w:rFonts w:ascii="Arial" w:eastAsia="Arial" w:hAnsi="Arial" w:cs="Arial"/>
          <w:i/>
          <w:iCs/>
          <w:sz w:val="18"/>
          <w:szCs w:val="18"/>
        </w:rPr>
        <w:t>. La presente Constitución puede ser adicionada o reformada. Para que las adiciones o reformas lleguen a ser parte de la misma, se requiere que el Congreso de la Unión, por el voto de las dos terceras partes de los individuos presentes, acuerden las reformas o adiciones, y que éstas sean aprobadas por la mayoría de las legislaturas de los Estados y de la Ciudad de México.</w:t>
      </w:r>
    </w:p>
    <w:p w14:paraId="04569C11" w14:textId="77777777" w:rsidR="001D5002" w:rsidRDefault="00B870AB">
      <w:pPr>
        <w:ind w:left="1416" w:right="901"/>
        <w:jc w:val="both"/>
        <w:rPr>
          <w:rFonts w:ascii="Arial" w:eastAsia="Arial" w:hAnsi="Arial" w:cs="Arial"/>
          <w:sz w:val="18"/>
          <w:szCs w:val="18"/>
        </w:rPr>
      </w:pPr>
      <w:r>
        <w:rPr>
          <w:rFonts w:ascii="Arial" w:eastAsia="Arial" w:hAnsi="Arial" w:cs="Arial"/>
          <w:i/>
          <w:iCs/>
          <w:sz w:val="18"/>
          <w:szCs w:val="18"/>
        </w:rPr>
        <w:t>El Congreso de la Unión o la Comisión Permanente en su caso, harán el cómputo de los votos de las Legislaturas y la declaración de haber sido aprobadas las adiciones o reformas.”</w:t>
      </w:r>
    </w:p>
    <w:p w14:paraId="09ADED14" w14:textId="77777777" w:rsidR="001D5002" w:rsidRDefault="001D5002">
      <w:pPr>
        <w:ind w:left="709" w:right="901"/>
        <w:jc w:val="both"/>
        <w:rPr>
          <w:rFonts w:ascii="Arial" w:eastAsia="Arial" w:hAnsi="Arial" w:cs="Arial"/>
          <w:sz w:val="20"/>
          <w:szCs w:val="20"/>
        </w:rPr>
      </w:pPr>
    </w:p>
    <w:p w14:paraId="706CD4E1"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Este esquema refleja el carácter federal de nuestra nación y garantiza que las modificaciones constitucionales sean legitimadas no solo por la representación nacional, sino también por las entidades que conforman la República. Sin embargo, éste solo estipula que dichas reformas deben ser aprobadas por la mayoría de las legislaturas locales, sin especificar en sí cómo debe realizarse ésta votación.</w:t>
      </w:r>
    </w:p>
    <w:p w14:paraId="1A2FB9EC" w14:textId="77777777" w:rsidR="001D5002" w:rsidRDefault="001D5002">
      <w:pPr>
        <w:ind w:left="709" w:right="901"/>
        <w:jc w:val="both"/>
        <w:rPr>
          <w:rFonts w:ascii="Arial" w:eastAsia="Arial" w:hAnsi="Arial" w:cs="Arial"/>
          <w:sz w:val="20"/>
          <w:szCs w:val="20"/>
        </w:rPr>
      </w:pPr>
    </w:p>
    <w:p w14:paraId="33FC41B7" w14:textId="77777777" w:rsidR="001D5002" w:rsidRDefault="00B870AB">
      <w:pPr>
        <w:ind w:left="709" w:right="901"/>
        <w:jc w:val="both"/>
        <w:rPr>
          <w:rFonts w:ascii="Arial" w:eastAsia="Arial" w:hAnsi="Arial" w:cs="Arial"/>
          <w:sz w:val="20"/>
          <w:szCs w:val="20"/>
        </w:rPr>
      </w:pPr>
      <w:r>
        <w:rPr>
          <w:rFonts w:ascii="Arial" w:eastAsia="Arial" w:hAnsi="Arial" w:cs="Arial"/>
          <w:i/>
          <w:iCs/>
          <w:sz w:val="20"/>
          <w:szCs w:val="20"/>
        </w:rPr>
        <w:t>…</w:t>
      </w:r>
    </w:p>
    <w:p w14:paraId="6F71DF0C" w14:textId="77777777" w:rsidR="001D5002" w:rsidRDefault="001D5002">
      <w:pPr>
        <w:ind w:left="709" w:right="901"/>
        <w:jc w:val="both"/>
        <w:rPr>
          <w:rFonts w:ascii="Arial" w:eastAsia="Arial" w:hAnsi="Arial" w:cs="Arial"/>
          <w:sz w:val="20"/>
          <w:szCs w:val="20"/>
        </w:rPr>
      </w:pPr>
    </w:p>
    <w:p w14:paraId="7E86B9D4"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 xml:space="preserve">No obstante, si bien este mecanismo ha demostrado su eficacia en la consolidación del orden jurídico nacional, actualmente, su intervención se limita a una aprobación o rechazo de las reformas promovidas por el Honorable Congreso de la Unión, sin posibilidad de realizar observaciones o enriquecer el debate legislativo. </w:t>
      </w:r>
    </w:p>
    <w:p w14:paraId="1193FE91" w14:textId="77777777" w:rsidR="001D5002" w:rsidRDefault="001D5002">
      <w:pPr>
        <w:ind w:left="709" w:right="901"/>
        <w:jc w:val="both"/>
        <w:rPr>
          <w:rFonts w:ascii="Arial" w:eastAsia="Arial" w:hAnsi="Arial" w:cs="Arial"/>
          <w:sz w:val="20"/>
          <w:szCs w:val="20"/>
        </w:rPr>
      </w:pPr>
    </w:p>
    <w:p w14:paraId="7599C096"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En este contexto, ciertas prácticas legislativas han demostrado ser redundantes y contrarias a los principios de eficiencia y economía procesal. Tal es el caso de la dictaminación de minutas federales en las legislaturas locales, un procedimiento que, lejos de aportar valor, representa una carga administrativa y un desaprovechamiento de recursos legislativos. Ésta tramitación resulta innecesaria porque el proceso de reforma constitucional establece que los congresos locales solo tienen la facultad, en su caso, de aprobar dichas minutas sin posibilidad de modificar su contenido. En consecuencia, el proceso de dictaminación se convierte en una actividad de obvia resolución, sin impacto real en la deliberación legislativa y sin una contribución efectiva al fortalecimiento del debate parlamentario.</w:t>
      </w:r>
    </w:p>
    <w:p w14:paraId="267E3860" w14:textId="77777777" w:rsidR="001D5002" w:rsidRDefault="001D5002">
      <w:pPr>
        <w:ind w:left="709" w:right="901"/>
        <w:jc w:val="both"/>
        <w:rPr>
          <w:rFonts w:ascii="Arial" w:eastAsia="Arial" w:hAnsi="Arial" w:cs="Arial"/>
          <w:sz w:val="20"/>
          <w:szCs w:val="20"/>
        </w:rPr>
      </w:pPr>
    </w:p>
    <w:p w14:paraId="53457458"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Además, la permanencia de este procedimiento implica un uso ineficiente del tiempo legislativo. En un contexto donde nuestra Legislatura debe atender una gran cantidad de iniciativas, puntos de acuerdo y asuntos de interés estatal, resulta contraproducente destinar esfuerzos a un proceso que no modifica ni enriquece el contenido de las reformas constitucionales federales. En este sentido, eliminar la dictaminación de minutas federales contribuiría a optimizar el trabajo legislativo, permitiendo que éste se enfoque en asuntos que, dentro de su esfera competencial, requieran análisis y deliberación sustantiva.</w:t>
      </w:r>
    </w:p>
    <w:p w14:paraId="2A8D3A06" w14:textId="77777777" w:rsidR="001D5002" w:rsidRDefault="001D5002">
      <w:pPr>
        <w:ind w:left="709" w:right="901"/>
        <w:jc w:val="both"/>
        <w:rPr>
          <w:rFonts w:ascii="Arial" w:eastAsia="Arial" w:hAnsi="Arial" w:cs="Arial"/>
          <w:sz w:val="20"/>
          <w:szCs w:val="20"/>
        </w:rPr>
      </w:pPr>
    </w:p>
    <w:p w14:paraId="06F7BACB" w14:textId="77777777" w:rsidR="001D5002" w:rsidRDefault="00B870AB">
      <w:pPr>
        <w:ind w:left="709" w:right="901"/>
        <w:jc w:val="both"/>
        <w:rPr>
          <w:rFonts w:ascii="Arial" w:eastAsia="Arial" w:hAnsi="Arial" w:cs="Arial"/>
          <w:sz w:val="20"/>
          <w:szCs w:val="20"/>
        </w:rPr>
      </w:pPr>
      <w:r>
        <w:rPr>
          <w:rFonts w:ascii="Arial" w:eastAsia="Arial" w:hAnsi="Arial" w:cs="Arial"/>
          <w:i/>
          <w:iCs/>
          <w:sz w:val="20"/>
          <w:szCs w:val="20"/>
        </w:rPr>
        <w:t>…</w:t>
      </w:r>
    </w:p>
    <w:p w14:paraId="68C5C394" w14:textId="77777777" w:rsidR="001D5002" w:rsidRDefault="001D5002">
      <w:pPr>
        <w:ind w:right="901"/>
        <w:jc w:val="both"/>
        <w:rPr>
          <w:rFonts w:ascii="Arial" w:eastAsia="Arial" w:hAnsi="Arial" w:cs="Arial"/>
          <w:sz w:val="20"/>
          <w:szCs w:val="20"/>
        </w:rPr>
      </w:pPr>
    </w:p>
    <w:p w14:paraId="05ECE9B3" w14:textId="77777777" w:rsidR="001D5002" w:rsidRDefault="00B870AB">
      <w:pPr>
        <w:ind w:left="709" w:right="901" w:firstLine="707"/>
        <w:jc w:val="both"/>
        <w:rPr>
          <w:rFonts w:ascii="Arial" w:eastAsia="Arial" w:hAnsi="Arial" w:cs="Arial"/>
          <w:sz w:val="20"/>
          <w:szCs w:val="20"/>
        </w:rPr>
      </w:pPr>
      <w:r>
        <w:rPr>
          <w:rFonts w:ascii="Arial" w:eastAsia="Arial" w:hAnsi="Arial" w:cs="Arial"/>
          <w:i/>
          <w:iCs/>
          <w:sz w:val="20"/>
          <w:szCs w:val="20"/>
        </w:rPr>
        <w:t>En este sentido, la eliminación de la etapa de dictaminación de minutas federales en el ámbito legislativo cumple con los principios esenciales del proceso legislativo, ya que optimiza el procedimiento sin vulnerar los derechos de participación ni alterar la voluntad parlamentaria expresada. Al suprimir un trámite que podría considerarse redundante cuando la discusión ya ha sido suficientemente abordada en instancias previas, se fortalece el principio de economía procesal, evitando dilaciones innecesarias y asegurando un proceso legislativo más ágil y eficiente. Asimismo, esta eliminación no menoscaba el principio de equidad en la deliberación, pues las fuerzas políticas mantienen su derecho a intervenir y expresar sus posturas en las fases esenciales del procedimiento. Mientras se garantice la publicidad del debate y se respeten las reglas de votación, la validez del proceso legislativo se mantiene intacta, demostrando que la simplificación de trámites legislativos no equivale a la omisión de principios democráticos, sino a su adecuada armonización con la eficiencia institucional.”</w:t>
      </w:r>
    </w:p>
    <w:p w14:paraId="6CCE1ED6" w14:textId="77777777" w:rsidR="001D5002" w:rsidRDefault="001D5002">
      <w:pPr>
        <w:spacing w:line="360" w:lineRule="auto"/>
        <w:jc w:val="both"/>
        <w:rPr>
          <w:rFonts w:ascii="Arial" w:eastAsia="Arial" w:hAnsi="Arial" w:cs="Arial"/>
          <w:color w:val="000000"/>
        </w:rPr>
      </w:pPr>
    </w:p>
    <w:p w14:paraId="3A81FB64" w14:textId="77777777" w:rsidR="001D5002" w:rsidRDefault="00B870AB">
      <w:pPr>
        <w:spacing w:line="360" w:lineRule="auto"/>
        <w:jc w:val="both"/>
        <w:rPr>
          <w:rFonts w:ascii="Arial" w:eastAsia="Arial" w:hAnsi="Arial" w:cs="Arial"/>
          <w:color w:val="000000"/>
        </w:rPr>
      </w:pPr>
      <w:r>
        <w:rPr>
          <w:rFonts w:ascii="Arial" w:eastAsia="Arial" w:hAnsi="Arial" w:cs="Arial"/>
          <w:b/>
          <w:bCs/>
          <w:color w:val="000000"/>
        </w:rPr>
        <w:t xml:space="preserve">CUARTO. </w:t>
      </w:r>
      <w:r>
        <w:rPr>
          <w:rFonts w:ascii="Arial" w:eastAsia="Arial" w:hAnsi="Arial" w:cs="Arial"/>
        </w:rPr>
        <w:t xml:space="preserve">En fecha veintitrés de octubre del año dos mil veinticuatro, la Diputada Neyda Aracelly Pat Dzul, integrante de la fracción legislativa del Partido Morena, presentó ante el Pleno de este H. Congreso la </w:t>
      </w:r>
      <w:r>
        <w:rPr>
          <w:rFonts w:ascii="Arial" w:eastAsia="Arial" w:hAnsi="Arial" w:cs="Arial"/>
          <w:i/>
          <w:iCs/>
        </w:rPr>
        <w:t>Iniciativa con Proyecto de Decreto por el que se reforma el Artículo 43 de la Ley de Gobierno del Poder Legislativo del Estado de Yucatán, en su fracción xiii (décima tercera), así como el primer párrafo de dicha fracción, para cambio de su nomenclatura</w:t>
      </w:r>
      <w:r>
        <w:rPr>
          <w:rFonts w:ascii="Arial" w:eastAsia="Arial" w:hAnsi="Arial" w:cs="Arial"/>
          <w:color w:val="000000"/>
        </w:rPr>
        <w:t>.</w:t>
      </w:r>
    </w:p>
    <w:p w14:paraId="27960AB7" w14:textId="77777777" w:rsidR="001D5002" w:rsidRDefault="001D5002">
      <w:pPr>
        <w:spacing w:line="360" w:lineRule="auto"/>
        <w:jc w:val="both"/>
        <w:rPr>
          <w:rFonts w:ascii="Arial" w:eastAsia="Arial" w:hAnsi="Arial" w:cs="Arial"/>
          <w:color w:val="000000"/>
        </w:rPr>
      </w:pPr>
    </w:p>
    <w:p w14:paraId="4225CAB9"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Las y los suscritos legisladores nos permitimos señalar la exposición de motivos de la iniciativa antes mencionada, siendo la siguiente:</w:t>
      </w:r>
    </w:p>
    <w:p w14:paraId="3EDEF68C" w14:textId="77777777" w:rsidR="001D5002" w:rsidRDefault="001D5002">
      <w:pPr>
        <w:spacing w:line="360" w:lineRule="auto"/>
        <w:ind w:firstLine="708"/>
        <w:jc w:val="both"/>
        <w:rPr>
          <w:rFonts w:ascii="Arial" w:eastAsia="Arial" w:hAnsi="Arial" w:cs="Arial"/>
          <w:color w:val="000000"/>
        </w:rPr>
      </w:pPr>
    </w:p>
    <w:p w14:paraId="0AA51C73"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 xml:space="preserve">“El Poder Legislativo como garante de los derechos de la ciudadanía yucateca </w:t>
      </w:r>
      <w:r>
        <w:rPr>
          <w:rFonts w:ascii="Arial" w:eastAsia="Arial" w:hAnsi="Arial" w:cs="Arial"/>
          <w:b/>
          <w:bCs/>
          <w:i/>
          <w:iCs/>
          <w:color w:val="000000"/>
          <w:sz w:val="18"/>
          <w:szCs w:val="18"/>
        </w:rPr>
        <w:t>tiene un deber de generar una actualización normativa constante que se adapte a las necesidades sociales del momento histórico.</w:t>
      </w:r>
      <w:r>
        <w:rPr>
          <w:rFonts w:ascii="Arial" w:eastAsia="Arial" w:hAnsi="Arial" w:cs="Arial"/>
          <w:i/>
          <w:iCs/>
          <w:color w:val="000000"/>
          <w:sz w:val="18"/>
          <w:szCs w:val="18"/>
        </w:rPr>
        <w:t xml:space="preserve"> Para tal fin, quienes integramos la legislatura, tenemos la responsabilidad de proponer modificaciones vanguardistas que incorporen nuevas hipótesis legales y escenarios del día a día, a fin de contar con un marco jurídico eficaz e idóneo.</w:t>
      </w:r>
    </w:p>
    <w:p w14:paraId="7B41151B" w14:textId="77777777" w:rsidR="001D5002" w:rsidRDefault="001D5002">
      <w:pPr>
        <w:ind w:left="708" w:firstLine="708"/>
        <w:jc w:val="both"/>
        <w:rPr>
          <w:rFonts w:ascii="Arial" w:eastAsia="Arial" w:hAnsi="Arial" w:cs="Arial"/>
          <w:color w:val="000000"/>
          <w:sz w:val="18"/>
          <w:szCs w:val="18"/>
        </w:rPr>
      </w:pPr>
    </w:p>
    <w:p w14:paraId="0AD3A8E5"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750304DF" w14:textId="77777777" w:rsidR="001D5002" w:rsidRDefault="001D5002">
      <w:pPr>
        <w:jc w:val="both"/>
        <w:rPr>
          <w:rFonts w:ascii="Arial" w:eastAsia="Arial" w:hAnsi="Arial" w:cs="Arial"/>
          <w:color w:val="000000"/>
          <w:sz w:val="18"/>
          <w:szCs w:val="18"/>
        </w:rPr>
      </w:pPr>
    </w:p>
    <w:p w14:paraId="0FDEDB3F"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La importancia del derecho indígena radica en varios aspectos fundamentales. En primer lugar, este sistema jurídico no solo refleja la identidad cultural de los pueblos originarios, sino que también protege su autonomía y autodeterminación, tal como se establece en el Convenio 169 de la Organización Internacional del Trabajo (OTT) y la Declaración de las Naciones Unidas sobre los Derechos de los Pueblos Indígenas. Estos instrumentos internacionales, que México ha ratificado, subrayan la necesidad de respetar y proteger los derechos colectivos de los pueblos indígenas, reconociendo sus costumbres jurídicas como parte de un proceso de descolonización del sistema legal dominan</w:t>
      </w:r>
    </w:p>
    <w:p w14:paraId="738DB9A7" w14:textId="77777777" w:rsidR="001D5002" w:rsidRDefault="001D5002">
      <w:pPr>
        <w:ind w:left="708" w:firstLine="708"/>
        <w:jc w:val="both"/>
        <w:rPr>
          <w:rFonts w:ascii="Arial" w:eastAsia="Arial" w:hAnsi="Arial" w:cs="Arial"/>
          <w:color w:val="000000"/>
          <w:sz w:val="18"/>
          <w:szCs w:val="18"/>
        </w:rPr>
      </w:pPr>
    </w:p>
    <w:p w14:paraId="1F183D99"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7FFFC8DB" w14:textId="77777777" w:rsidR="001D5002" w:rsidRDefault="001D5002">
      <w:pPr>
        <w:ind w:left="708" w:firstLine="708"/>
        <w:jc w:val="both"/>
        <w:rPr>
          <w:rFonts w:ascii="Arial" w:eastAsia="Arial" w:hAnsi="Arial" w:cs="Arial"/>
          <w:color w:val="000000"/>
          <w:sz w:val="18"/>
          <w:szCs w:val="18"/>
        </w:rPr>
      </w:pPr>
    </w:p>
    <w:p w14:paraId="12C97532"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b/>
          <w:bCs/>
          <w:i/>
          <w:iCs/>
          <w:color w:val="000000"/>
          <w:sz w:val="18"/>
          <w:szCs w:val="18"/>
        </w:rPr>
        <w:t>La modificación de la nomenclatura de una Comisión Permanente en el Congreso del Estado de Yucatán debe necesariamente incorporar el derecho indígena y reconocer la especificidad de los pueblos mayas en la región, quienes constituyen una parte significativa de la población estatal.</w:t>
      </w:r>
      <w:r>
        <w:rPr>
          <w:rFonts w:ascii="Arial" w:eastAsia="Arial" w:hAnsi="Arial" w:cs="Arial"/>
          <w:i/>
          <w:iCs/>
          <w:color w:val="000000"/>
          <w:sz w:val="18"/>
          <w:szCs w:val="18"/>
        </w:rPr>
        <w:t xml:space="preserve"> Incluir el derecho indígena en esta nueva instancia legislativa no solo responde a los compromisos internacionales y constitucionales de México, sino también a la deuda histórica con los pueblos inguinarios de Yucatán</w:t>
      </w:r>
    </w:p>
    <w:p w14:paraId="55A1A78D" w14:textId="77777777" w:rsidR="001D5002" w:rsidRDefault="001D5002">
      <w:pPr>
        <w:jc w:val="both"/>
        <w:rPr>
          <w:rFonts w:ascii="Arial" w:eastAsia="Arial" w:hAnsi="Arial" w:cs="Arial"/>
          <w:color w:val="000000"/>
          <w:sz w:val="18"/>
          <w:szCs w:val="18"/>
        </w:rPr>
      </w:pPr>
    </w:p>
    <w:p w14:paraId="35A5A264"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2E53ABD3" w14:textId="77777777" w:rsidR="001D5002" w:rsidRDefault="001D5002">
      <w:pPr>
        <w:ind w:left="708" w:firstLine="708"/>
        <w:jc w:val="both"/>
        <w:rPr>
          <w:rFonts w:ascii="Arial" w:eastAsia="Arial" w:hAnsi="Arial" w:cs="Arial"/>
          <w:color w:val="000000"/>
          <w:sz w:val="18"/>
          <w:szCs w:val="18"/>
        </w:rPr>
      </w:pPr>
    </w:p>
    <w:p w14:paraId="5AF37ACB"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La visibilización en Yucatán es clave para asegurar que los saberes tradicionales, la lengua maya y las prácticas ancestrales continúen siendo parte del tejido social del estado Además, al reconocer la importancia de estos pueblos, se fomenta el respeto a su entorno, sus recursos naturales v su cosmovisión, aspectos vitales en la actual discusión sobre el desarrollo sostenible El reconocimiento de los pueblos mayas también ayudaría a abordar la pobreza y la desigualdad que afectan de manera desproporcionada a las comunidades indígenas, permitiéndoles gozar de un desarrollo pleno y justo en la vida económica y social de la región.</w:t>
      </w:r>
    </w:p>
    <w:p w14:paraId="49BA9FFA" w14:textId="77777777" w:rsidR="001D5002" w:rsidRDefault="001D5002">
      <w:pPr>
        <w:ind w:left="708" w:firstLine="708"/>
        <w:jc w:val="both"/>
        <w:rPr>
          <w:rFonts w:ascii="Arial" w:eastAsia="Arial" w:hAnsi="Arial" w:cs="Arial"/>
          <w:color w:val="000000"/>
          <w:sz w:val="18"/>
          <w:szCs w:val="18"/>
        </w:rPr>
      </w:pPr>
    </w:p>
    <w:p w14:paraId="179818AF"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40F7A367" w14:textId="77777777" w:rsidR="001D5002" w:rsidRDefault="001D5002">
      <w:pPr>
        <w:ind w:left="708" w:firstLine="708"/>
        <w:jc w:val="both"/>
        <w:rPr>
          <w:rFonts w:ascii="Arial" w:eastAsia="Arial" w:hAnsi="Arial" w:cs="Arial"/>
          <w:color w:val="000000"/>
          <w:sz w:val="18"/>
          <w:szCs w:val="18"/>
        </w:rPr>
      </w:pPr>
    </w:p>
    <w:p w14:paraId="7744783D"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La entidad tiene un gran número de mujeres y hombres que pertenecen a las comunidades y pueblos maya, indígenas y afromexicanos v otros muchos que pertenecen a otras raíces, pero todos somos sujetos de derechos y obligaciones. México tiene un sustento pluricultural o de varias etnias que nos dan una cultura rica y milenaria. Con base a lo expresado, el congreso de Yucatán puede hacer su parte para exhortar y llamar la atención de las autoridades para que de acuerdo a las actuales estrategias en favor de la comunidad maya, indígena y afromexicana, se ayude y eviten omisiones que causen daños irreparables a quienes pertenecen a las comunidades originarias en la entidad.</w:t>
      </w:r>
    </w:p>
    <w:p w14:paraId="18C5A37D" w14:textId="77777777" w:rsidR="001D5002" w:rsidRDefault="001D5002">
      <w:pPr>
        <w:ind w:left="708" w:firstLine="708"/>
        <w:jc w:val="both"/>
        <w:rPr>
          <w:rFonts w:ascii="Arial" w:eastAsia="Arial" w:hAnsi="Arial" w:cs="Arial"/>
          <w:color w:val="000000"/>
          <w:sz w:val="18"/>
          <w:szCs w:val="18"/>
        </w:rPr>
      </w:pPr>
    </w:p>
    <w:p w14:paraId="711DB877"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 xml:space="preserve">Estoy cierta que, con esta iniciativa, se incorpora un andamiaje necesario y apegado a la configuración legislativa. Tampoco podemos dejar de lado que, considerar herramientas para abordar y discutir mejoras en las condiciones de los pueblos originarios, cobran mucha más importancia para un Estado Constitucional de Derecho y Democrático para salvaguardar a las y los integrantes de dichas comunidades. </w:t>
      </w:r>
      <w:r>
        <w:rPr>
          <w:rFonts w:ascii="Arial" w:eastAsia="Arial" w:hAnsi="Arial" w:cs="Arial"/>
          <w:b/>
          <w:bCs/>
          <w:i/>
          <w:iCs/>
          <w:color w:val="000000"/>
          <w:sz w:val="18"/>
          <w:szCs w:val="18"/>
        </w:rPr>
        <w:t>La reforma prevista en la presente iniciativa, es viable con base a los trabajos legislativos los cuales, han sido enfáticos respecto a las autoridades, a fin de ser garantes del respeto irrestricto cuando se opta por realizar acciones que impacten en la autodeterminación, desarrollo, crecimiento y de cualquier acción gubernamental que incumba derechos de los pueblos y comunidades</w:t>
      </w:r>
      <w:r>
        <w:rPr>
          <w:rFonts w:ascii="Arial" w:eastAsia="Arial" w:hAnsi="Arial" w:cs="Arial"/>
          <w:i/>
          <w:iCs/>
          <w:color w:val="000000"/>
          <w:sz w:val="18"/>
          <w:szCs w:val="18"/>
        </w:rPr>
        <w:t>.”</w:t>
      </w:r>
    </w:p>
    <w:p w14:paraId="1C3AA711" w14:textId="77777777" w:rsidR="001D5002" w:rsidRDefault="001D5002">
      <w:pPr>
        <w:spacing w:line="360" w:lineRule="auto"/>
        <w:ind w:firstLine="708"/>
        <w:jc w:val="both"/>
        <w:rPr>
          <w:rFonts w:ascii="Arial" w:eastAsia="Arial" w:hAnsi="Arial" w:cs="Arial"/>
          <w:color w:val="000000"/>
        </w:rPr>
      </w:pPr>
    </w:p>
    <w:p w14:paraId="1127F824" w14:textId="77777777" w:rsidR="001D5002" w:rsidRDefault="00B870AB">
      <w:pPr>
        <w:spacing w:line="360" w:lineRule="auto"/>
        <w:jc w:val="both"/>
        <w:rPr>
          <w:rFonts w:ascii="Arial" w:eastAsia="Arial" w:hAnsi="Arial" w:cs="Arial"/>
          <w:color w:val="000000"/>
        </w:rPr>
      </w:pPr>
      <w:r>
        <w:rPr>
          <w:rFonts w:ascii="Arial" w:eastAsia="Arial" w:hAnsi="Arial" w:cs="Arial"/>
          <w:b/>
          <w:bCs/>
          <w:color w:val="000000"/>
        </w:rPr>
        <w:t xml:space="preserve">QUINTO. </w:t>
      </w:r>
      <w:r>
        <w:rPr>
          <w:rFonts w:ascii="Arial" w:eastAsia="Arial" w:hAnsi="Arial" w:cs="Arial"/>
        </w:rPr>
        <w:t>En fecha once de noviembre del año dos mil veinticuatro, la Diputada Itzel Falla Uribe, integrante de la fracció</w:t>
      </w:r>
      <w:r w:rsidR="00BA747B">
        <w:rPr>
          <w:rFonts w:ascii="Arial" w:eastAsia="Arial" w:hAnsi="Arial" w:cs="Arial"/>
        </w:rPr>
        <w:t>n legislativa del Partido Acción Nacional</w:t>
      </w:r>
      <w:r>
        <w:rPr>
          <w:rFonts w:ascii="Arial" w:eastAsia="Arial" w:hAnsi="Arial" w:cs="Arial"/>
        </w:rPr>
        <w:t xml:space="preserve">, presentó ante el Pleno de este H. Congreso la </w:t>
      </w:r>
      <w:r>
        <w:rPr>
          <w:rFonts w:ascii="Arial" w:eastAsia="Arial" w:hAnsi="Arial" w:cs="Arial"/>
          <w:i/>
          <w:iCs/>
        </w:rPr>
        <w:t>Iniciativa con Proyecto de Decreto por el que se modifique el nombre de la Comisión Permanente De Juventud, Cultura Física y Deporte al de Juventudes, Cultura Física Y Deporte</w:t>
      </w:r>
      <w:r>
        <w:rPr>
          <w:rFonts w:ascii="Arial" w:eastAsia="Arial" w:hAnsi="Arial" w:cs="Arial"/>
          <w:color w:val="000000"/>
        </w:rPr>
        <w:t>.</w:t>
      </w:r>
    </w:p>
    <w:p w14:paraId="45674310" w14:textId="77777777" w:rsidR="001D5002" w:rsidRDefault="001D5002">
      <w:pPr>
        <w:spacing w:line="360" w:lineRule="auto"/>
        <w:jc w:val="both"/>
        <w:rPr>
          <w:rFonts w:ascii="Arial" w:eastAsia="Arial" w:hAnsi="Arial" w:cs="Arial"/>
          <w:color w:val="000000"/>
        </w:rPr>
      </w:pPr>
    </w:p>
    <w:p w14:paraId="25848951"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Las y los suscritos legisladores nos permitimos señalar la exposición de motivos de la iniciativa antes mencionada, siendo la siguiente:</w:t>
      </w:r>
    </w:p>
    <w:p w14:paraId="6894AD5C" w14:textId="77777777" w:rsidR="001D5002" w:rsidRDefault="001D5002">
      <w:pPr>
        <w:spacing w:line="360" w:lineRule="auto"/>
        <w:ind w:firstLine="708"/>
        <w:jc w:val="both"/>
        <w:rPr>
          <w:rFonts w:ascii="Arial" w:eastAsia="Arial" w:hAnsi="Arial" w:cs="Arial"/>
          <w:color w:val="000000"/>
        </w:rPr>
      </w:pPr>
    </w:p>
    <w:p w14:paraId="2ACB8075"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“Existe la necesidad de reconocer la diversidad y pluralidad dentro del grupo juvenil, eso se refiere a la variedad de experiencias, perspectivas y contextos que prevalecen en las juventudes, la inclusión es un valor fundamental que ayuda a construir sociedades más justas, equitativas y respetuosas, adoptar una actitud inclusiva permite a las juventudes contribuir a un mundo más justo donde cada individuo tiene la oportunidad de alcanzar su máximo potencia y vivir una vida plena.</w:t>
      </w:r>
    </w:p>
    <w:p w14:paraId="5C0BE0C5" w14:textId="77777777" w:rsidR="001D5002" w:rsidRDefault="001D5002">
      <w:pPr>
        <w:ind w:left="708" w:firstLine="708"/>
        <w:jc w:val="both"/>
        <w:rPr>
          <w:rFonts w:ascii="Arial" w:eastAsia="Arial" w:hAnsi="Arial" w:cs="Arial"/>
          <w:color w:val="000000"/>
          <w:sz w:val="18"/>
          <w:szCs w:val="18"/>
        </w:rPr>
      </w:pPr>
    </w:p>
    <w:p w14:paraId="4EBABE5B"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6D258C43"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ab/>
      </w:r>
    </w:p>
    <w:p w14:paraId="5482D30F"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Por ello, al incluir el término "JUVENTUDES al nombre de la comisión permanente anteriormente conocida sólo como "Juventud", buscamos reflejar esta evolución conceptual. El plural resalta la diversidad inherente dentro del grupo etario juvenil, reconociendo diferentes experiencias según género, etnia, orientación sexual o contexto socioeconómico, construyendo así un discurso más inclusivo e integrador</w:t>
      </w:r>
    </w:p>
    <w:p w14:paraId="39E7D5DE" w14:textId="77777777" w:rsidR="001D5002" w:rsidRDefault="001D5002">
      <w:pPr>
        <w:ind w:left="708" w:firstLine="708"/>
        <w:jc w:val="both"/>
        <w:rPr>
          <w:rFonts w:ascii="Arial" w:eastAsia="Arial" w:hAnsi="Arial" w:cs="Arial"/>
          <w:color w:val="000000"/>
          <w:sz w:val="18"/>
          <w:szCs w:val="18"/>
        </w:rPr>
      </w:pPr>
    </w:p>
    <w:p w14:paraId="0E048350"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5E2E497C" w14:textId="77777777" w:rsidR="001D5002" w:rsidRDefault="001D5002">
      <w:pPr>
        <w:ind w:left="708" w:firstLine="708"/>
        <w:jc w:val="both"/>
        <w:rPr>
          <w:rFonts w:ascii="Arial" w:eastAsia="Arial" w:hAnsi="Arial" w:cs="Arial"/>
          <w:color w:val="000000"/>
          <w:sz w:val="18"/>
          <w:szCs w:val="18"/>
        </w:rPr>
      </w:pPr>
    </w:p>
    <w:p w14:paraId="30C60772"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En el contexto social contemporáneo, la juventud se presenta como un grupo heterogéneo con diversas necesidades, intereses y desafíos únicos. Al referirnos a "Juventudes, se busca englobar esa pluralidad de realidades, reconociendo las diferencias generacionales y culturales que existen dentro del grupo etario comprendido como jóvenes. Este cambio nominal simboliza un enfoque más inclusivo y consciente hacia ellos.</w:t>
      </w:r>
    </w:p>
    <w:p w14:paraId="38185B62" w14:textId="77777777" w:rsidR="001D5002" w:rsidRDefault="001D5002">
      <w:pPr>
        <w:ind w:left="708" w:firstLine="708"/>
        <w:jc w:val="both"/>
        <w:rPr>
          <w:rFonts w:ascii="Arial" w:eastAsia="Arial" w:hAnsi="Arial" w:cs="Arial"/>
          <w:color w:val="000000"/>
          <w:sz w:val="18"/>
          <w:szCs w:val="18"/>
        </w:rPr>
      </w:pPr>
    </w:p>
    <w:p w14:paraId="19769692"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Uno de los principales retos actuales que enfrentan las juventudes es su inserción efectiva en los ámbitos laborales, sociales, educativos y políticos. Estas áreas se ven limitadas por políticas públicas que no consideran la diversidad dentro del propio grupo juvenil. Reconocerlas como juventudes nos impulsa a formular estrategias que consideren diferentes perfiles juveniles, potenciando sus oportunidades participación activa en la sociedad.</w:t>
      </w:r>
    </w:p>
    <w:p w14:paraId="757B1BF4" w14:textId="77777777" w:rsidR="001D5002" w:rsidRDefault="001D5002">
      <w:pPr>
        <w:ind w:left="708" w:firstLine="708"/>
        <w:jc w:val="both"/>
        <w:rPr>
          <w:rFonts w:ascii="Arial" w:eastAsia="Arial" w:hAnsi="Arial" w:cs="Arial"/>
          <w:color w:val="000000"/>
          <w:sz w:val="18"/>
          <w:szCs w:val="18"/>
        </w:rPr>
      </w:pPr>
    </w:p>
    <w:p w14:paraId="0EEC5355"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1B45A8BE" w14:textId="77777777" w:rsidR="001D5002" w:rsidRDefault="001D5002">
      <w:pPr>
        <w:ind w:left="708" w:firstLine="708"/>
        <w:jc w:val="both"/>
        <w:rPr>
          <w:rFonts w:ascii="Arial" w:eastAsia="Arial" w:hAnsi="Arial" w:cs="Arial"/>
          <w:color w:val="000000"/>
          <w:sz w:val="18"/>
          <w:szCs w:val="18"/>
        </w:rPr>
      </w:pPr>
    </w:p>
    <w:p w14:paraId="5A6731BA"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Hoy las juventudes nos enfrentamos a diferentes retos entre ellos la discriminación y exclusión social, ya sea por su origen étnico, genero, orientación sexual, identidad de género y discapacidad, esto limita las oportunidades de desarrollo y participación en la sociedad. Al establecer leyes que protejan y promuevan la diversidad, se asegura que todos los jóvenes tengan las mismas oportunidades de desarrollo.</w:t>
      </w:r>
    </w:p>
    <w:p w14:paraId="43EB88F5" w14:textId="77777777" w:rsidR="001D5002" w:rsidRDefault="001D5002">
      <w:pPr>
        <w:ind w:left="708" w:firstLine="708"/>
        <w:jc w:val="both"/>
        <w:rPr>
          <w:rFonts w:ascii="Arial" w:eastAsia="Arial" w:hAnsi="Arial" w:cs="Arial"/>
          <w:color w:val="000000"/>
          <w:sz w:val="18"/>
          <w:szCs w:val="18"/>
        </w:rPr>
      </w:pPr>
    </w:p>
    <w:p w14:paraId="3DF1F76B" w14:textId="77777777" w:rsidR="001D5002" w:rsidRDefault="00B870AB">
      <w:pPr>
        <w:ind w:left="708" w:firstLine="708"/>
        <w:jc w:val="both"/>
        <w:rPr>
          <w:rFonts w:ascii="Arial" w:eastAsia="Arial" w:hAnsi="Arial" w:cs="Arial"/>
          <w:color w:val="000000"/>
          <w:sz w:val="18"/>
          <w:szCs w:val="18"/>
        </w:rPr>
      </w:pPr>
      <w:r>
        <w:rPr>
          <w:rFonts w:ascii="Arial" w:eastAsia="Arial" w:hAnsi="Arial" w:cs="Arial"/>
          <w:i/>
          <w:iCs/>
          <w:color w:val="000000"/>
          <w:sz w:val="18"/>
          <w:szCs w:val="18"/>
        </w:rPr>
        <w:t>….”</w:t>
      </w:r>
    </w:p>
    <w:p w14:paraId="06ADAA9A" w14:textId="77777777" w:rsidR="001D5002" w:rsidRDefault="001D5002">
      <w:pPr>
        <w:ind w:left="708" w:firstLine="708"/>
        <w:jc w:val="both"/>
        <w:rPr>
          <w:rFonts w:ascii="Arial" w:eastAsia="Arial" w:hAnsi="Arial" w:cs="Arial"/>
          <w:color w:val="000000"/>
          <w:sz w:val="18"/>
          <w:szCs w:val="18"/>
        </w:rPr>
      </w:pPr>
    </w:p>
    <w:p w14:paraId="4F768A8B" w14:textId="77777777" w:rsidR="001D5002" w:rsidRDefault="00B870AB">
      <w:pPr>
        <w:spacing w:line="360" w:lineRule="auto"/>
        <w:ind w:firstLine="708"/>
        <w:jc w:val="both"/>
        <w:rPr>
          <w:rFonts w:ascii="Arial" w:eastAsia="Arial" w:hAnsi="Arial" w:cs="Arial"/>
          <w:color w:val="000000"/>
        </w:rPr>
      </w:pPr>
      <w:r>
        <w:rPr>
          <w:rFonts w:ascii="Arial" w:eastAsia="Arial" w:hAnsi="Arial" w:cs="Arial"/>
          <w:color w:val="000000"/>
        </w:rPr>
        <w:t>Ahora bien, con base en los antecedentes antes mencionados, las diputadas y los diputados integrantes de este órgano legislativo dictaminador, realizamos las siguientes,</w:t>
      </w:r>
    </w:p>
    <w:p w14:paraId="11ADE3F8" w14:textId="77777777" w:rsidR="001D5002" w:rsidRDefault="001D5002">
      <w:pPr>
        <w:spacing w:line="360" w:lineRule="auto"/>
        <w:jc w:val="both"/>
        <w:rPr>
          <w:rFonts w:ascii="Arial" w:eastAsia="Arial" w:hAnsi="Arial" w:cs="Arial"/>
          <w:color w:val="000000"/>
        </w:rPr>
      </w:pPr>
    </w:p>
    <w:p w14:paraId="570F6308" w14:textId="77777777" w:rsidR="001D5002" w:rsidRDefault="00B870AB">
      <w:pPr>
        <w:pBdr>
          <w:top w:val="nil"/>
          <w:left w:val="nil"/>
          <w:bottom w:val="nil"/>
          <w:right w:val="nil"/>
          <w:between w:val="nil"/>
        </w:pBdr>
        <w:tabs>
          <w:tab w:val="left" w:pos="8222"/>
        </w:tabs>
        <w:spacing w:line="360" w:lineRule="auto"/>
        <w:ind w:left="-992" w:firstLine="567"/>
        <w:jc w:val="center"/>
        <w:rPr>
          <w:rFonts w:ascii="Arial" w:eastAsia="Arial" w:hAnsi="Arial" w:cs="Arial"/>
          <w:color w:val="000000"/>
        </w:rPr>
      </w:pPr>
      <w:r>
        <w:rPr>
          <w:rFonts w:ascii="Arial" w:eastAsia="Arial" w:hAnsi="Arial" w:cs="Arial"/>
          <w:b/>
          <w:bCs/>
          <w:color w:val="000000"/>
        </w:rPr>
        <w:t>C O N S I D E R A C I O N E S</w:t>
      </w:r>
    </w:p>
    <w:p w14:paraId="0456FDC1" w14:textId="77777777" w:rsidR="001D5002" w:rsidRDefault="001D5002">
      <w:pPr>
        <w:pBdr>
          <w:top w:val="nil"/>
          <w:left w:val="nil"/>
          <w:bottom w:val="nil"/>
          <w:right w:val="nil"/>
          <w:between w:val="nil"/>
        </w:pBdr>
        <w:spacing w:line="360" w:lineRule="auto"/>
        <w:jc w:val="both"/>
        <w:rPr>
          <w:rFonts w:ascii="Arial" w:eastAsia="Arial" w:hAnsi="Arial" w:cs="Arial"/>
          <w:color w:val="000000"/>
        </w:rPr>
      </w:pPr>
    </w:p>
    <w:p w14:paraId="18519268" w14:textId="77777777" w:rsidR="001D5002" w:rsidRDefault="00B870AB">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bCs/>
          <w:color w:val="000000"/>
        </w:rPr>
        <w:t xml:space="preserve">PRIMERA. </w:t>
      </w:r>
      <w:r>
        <w:rPr>
          <w:rFonts w:ascii="Arial" w:eastAsia="Arial" w:hAnsi="Arial" w:cs="Arial"/>
          <w:color w:val="000000"/>
        </w:rPr>
        <w:t>La iniciativa a tratar tiene sustento normativo en lo dispuesto por los artículos 35 fracción I de la Constitución Política, así como en los artículos 16 y 22 fracción VI de la Ley de Gobierno del Poder Legislativo del Estado de Yucatán, ambos del Estado de Yucatán, toda vez que dichas disposiciones facultan a los diputados para iniciar leyes y decretos.</w:t>
      </w:r>
    </w:p>
    <w:p w14:paraId="0C6A6997" w14:textId="77777777" w:rsidR="001D5002" w:rsidRDefault="001D5002">
      <w:pPr>
        <w:pBdr>
          <w:top w:val="nil"/>
          <w:left w:val="nil"/>
          <w:bottom w:val="nil"/>
          <w:right w:val="nil"/>
          <w:between w:val="nil"/>
        </w:pBdr>
        <w:spacing w:line="360" w:lineRule="auto"/>
        <w:ind w:firstLine="709"/>
        <w:jc w:val="both"/>
        <w:rPr>
          <w:rFonts w:ascii="Arial" w:eastAsia="Arial" w:hAnsi="Arial" w:cs="Arial"/>
          <w:color w:val="000000"/>
        </w:rPr>
      </w:pPr>
    </w:p>
    <w:p w14:paraId="6961761B" w14:textId="77777777" w:rsidR="001D5002" w:rsidRDefault="00B870AB">
      <w:pPr>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De igual forma, con fundamento en el artículo 43, fracción I, inciso i) de la referida Ley de Gobierno del Poder Legislativo del Estado de Yucatán, esta Comisión Permanente de Puntos Constitucionales y Gobernación tiene competencia para estudiar, analizar y dictaminar sobre los asuntos propuestos en la iniciativa, toda vez que pretende reformar la normatividad del Poder Legislativo del Estado de Yucatán.</w:t>
      </w:r>
    </w:p>
    <w:p w14:paraId="5AFCE91C" w14:textId="77777777" w:rsidR="001D5002" w:rsidRDefault="001D5002">
      <w:pPr>
        <w:pBdr>
          <w:top w:val="nil"/>
          <w:left w:val="nil"/>
          <w:bottom w:val="nil"/>
          <w:right w:val="nil"/>
          <w:between w:val="nil"/>
        </w:pBdr>
        <w:spacing w:line="360" w:lineRule="auto"/>
        <w:jc w:val="both"/>
        <w:rPr>
          <w:rFonts w:ascii="Arial" w:eastAsia="Arial" w:hAnsi="Arial" w:cs="Arial"/>
          <w:color w:val="000000"/>
        </w:rPr>
      </w:pPr>
    </w:p>
    <w:p w14:paraId="3387C851" w14:textId="77777777" w:rsidR="001D5002" w:rsidRDefault="00B870AB">
      <w:p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b/>
          <w:bCs/>
          <w:color w:val="000000"/>
        </w:rPr>
        <w:t xml:space="preserve">SEGUNDA. </w:t>
      </w:r>
      <w:r>
        <w:rPr>
          <w:rFonts w:ascii="Arial" w:eastAsia="Arial" w:hAnsi="Arial" w:cs="Arial"/>
          <w:color w:val="000000"/>
        </w:rPr>
        <w:t>El Congreso del Estado de Yucatán ha mantenido en los últimos años una dinámica de modernización constante de su marco jurídico, con el fin de asegurar que los procesos legislativos respondan a los principios de eficacia, representatividad e inclusión social.</w:t>
      </w:r>
    </w:p>
    <w:p w14:paraId="7B1C898A" w14:textId="77777777" w:rsidR="001D5002" w:rsidRDefault="001D5002">
      <w:pPr>
        <w:pBdr>
          <w:top w:val="nil"/>
          <w:left w:val="nil"/>
          <w:bottom w:val="nil"/>
          <w:right w:val="nil"/>
          <w:between w:val="nil"/>
        </w:pBdr>
        <w:spacing w:after="120" w:line="360" w:lineRule="auto"/>
        <w:jc w:val="both"/>
        <w:rPr>
          <w:rFonts w:ascii="Arial" w:eastAsia="Arial" w:hAnsi="Arial" w:cs="Arial"/>
          <w:color w:val="000000"/>
        </w:rPr>
      </w:pPr>
    </w:p>
    <w:p w14:paraId="10D5633B" w14:textId="77777777" w:rsidR="001D5002" w:rsidRDefault="00B870AB">
      <w:pPr>
        <w:pBdr>
          <w:top w:val="nil"/>
          <w:left w:val="nil"/>
          <w:bottom w:val="nil"/>
          <w:right w:val="nil"/>
          <w:between w:val="nil"/>
        </w:pBdr>
        <w:spacing w:after="120" w:line="360" w:lineRule="auto"/>
        <w:ind w:firstLine="708"/>
        <w:jc w:val="both"/>
        <w:rPr>
          <w:rFonts w:ascii="Arial" w:eastAsia="Arial" w:hAnsi="Arial" w:cs="Arial"/>
          <w:color w:val="000000"/>
        </w:rPr>
      </w:pPr>
      <w:r>
        <w:rPr>
          <w:rFonts w:ascii="Arial" w:eastAsia="Arial" w:hAnsi="Arial" w:cs="Arial"/>
          <w:color w:val="000000"/>
        </w:rPr>
        <w:t xml:space="preserve">En este contexto, las iniciativas que ahora se dictaminan encuentran su fundamento en dos ejes complementarios de la práctica parlamentaria: en primer término, la </w:t>
      </w:r>
      <w:r>
        <w:rPr>
          <w:rFonts w:ascii="Arial" w:eastAsia="Arial" w:hAnsi="Arial" w:cs="Arial"/>
          <w:b/>
          <w:bCs/>
          <w:color w:val="000000"/>
        </w:rPr>
        <w:t>economía procesal</w:t>
      </w:r>
      <w:r>
        <w:rPr>
          <w:rFonts w:ascii="Arial" w:eastAsia="Arial" w:hAnsi="Arial" w:cs="Arial"/>
          <w:color w:val="000000"/>
        </w:rPr>
        <w:t xml:space="preserve">, como mecanismo para optimizar el desarrollo de los trámites internos y concentrar la deliberación parlamentaria en los asuntos que verdaderamente requieren análisis sustantivo; y, en segundo lugar, la </w:t>
      </w:r>
      <w:r>
        <w:rPr>
          <w:rFonts w:ascii="Arial" w:eastAsia="Arial" w:hAnsi="Arial" w:cs="Arial"/>
          <w:b/>
          <w:bCs/>
          <w:color w:val="000000"/>
        </w:rPr>
        <w:t>inclusión normativa</w:t>
      </w:r>
      <w:r>
        <w:rPr>
          <w:rFonts w:ascii="Arial" w:eastAsia="Arial" w:hAnsi="Arial" w:cs="Arial"/>
          <w:color w:val="000000"/>
        </w:rPr>
        <w:t>, con un enfoque progresista que reconoce la diversidad cultural y generacional de la sociedad yucateca.</w:t>
      </w:r>
    </w:p>
    <w:p w14:paraId="654C77B8" w14:textId="77777777" w:rsidR="001D5002" w:rsidRDefault="001D5002">
      <w:pPr>
        <w:pBdr>
          <w:top w:val="nil"/>
          <w:left w:val="nil"/>
          <w:bottom w:val="nil"/>
          <w:right w:val="nil"/>
          <w:between w:val="nil"/>
        </w:pBdr>
        <w:spacing w:line="360" w:lineRule="auto"/>
        <w:ind w:firstLine="708"/>
        <w:jc w:val="both"/>
        <w:rPr>
          <w:rFonts w:ascii="Arial" w:eastAsia="Arial" w:hAnsi="Arial" w:cs="Arial"/>
          <w:color w:val="000000"/>
        </w:rPr>
      </w:pPr>
    </w:p>
    <w:p w14:paraId="4199AAE8" w14:textId="77777777" w:rsidR="001D5002" w:rsidRDefault="00B870AB">
      <w:pPr>
        <w:pBdr>
          <w:top w:val="nil"/>
          <w:left w:val="nil"/>
          <w:bottom w:val="nil"/>
          <w:right w:val="nil"/>
          <w:between w:val="nil"/>
        </w:pBdr>
        <w:spacing w:line="360" w:lineRule="auto"/>
        <w:ind w:firstLine="708"/>
        <w:jc w:val="both"/>
        <w:rPr>
          <w:rFonts w:ascii="Arial" w:eastAsia="Arial" w:hAnsi="Arial" w:cs="Arial"/>
          <w:color w:val="000000"/>
        </w:rPr>
      </w:pPr>
      <w:r>
        <w:rPr>
          <w:rFonts w:ascii="Arial" w:eastAsia="Arial" w:hAnsi="Arial" w:cs="Arial"/>
          <w:color w:val="000000"/>
        </w:rPr>
        <w:t>Estos propósitos se encuentran en armonía con lo establecido en la Agenda Legislativa 2024-2027 de la LXIV Legislatura del Honorable Congreso del Estado de Yucatán, aprobada en noviembre de dos mil veinticuatro, la cual, dentro del rubro “Estado democrático de derecho y participación política”, subraya la importancia de promover la simplificación administrativa así como incentivar la participación política de la ciudadanía y ampliar las capacidades del Estado para atender las necesidades sociales, por ejemplo, a través de la adopción de un lenguaje normativo incluyente y representativo.</w:t>
      </w:r>
    </w:p>
    <w:p w14:paraId="3F3E50AF" w14:textId="77777777" w:rsidR="001D5002" w:rsidRDefault="001D5002">
      <w:pPr>
        <w:pBdr>
          <w:top w:val="nil"/>
          <w:left w:val="nil"/>
          <w:bottom w:val="nil"/>
          <w:right w:val="nil"/>
          <w:between w:val="nil"/>
        </w:pBdr>
        <w:spacing w:line="360" w:lineRule="auto"/>
        <w:ind w:firstLine="708"/>
        <w:jc w:val="both"/>
        <w:rPr>
          <w:rFonts w:ascii="Arial" w:eastAsia="Arial" w:hAnsi="Arial" w:cs="Arial"/>
          <w:color w:val="000000"/>
        </w:rPr>
      </w:pPr>
    </w:p>
    <w:p w14:paraId="54AA3193"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TERCERA.</w:t>
      </w:r>
      <w:r>
        <w:rPr>
          <w:rFonts w:ascii="Arial" w:eastAsia="Arial" w:hAnsi="Arial" w:cs="Arial"/>
          <w:color w:val="000000"/>
        </w:rPr>
        <w:t xml:space="preserve"> Para dar inicio al análisis, es necesario destacar que el sistema federal mexicano, consagrado en el primer párrafo del artículo 40 de la Constitución Política de los Estados Unidos Mexicanos, se erige sobre la base de que los estados son libres y soberanos en todo lo concerniente a su régimen interior, pero unidos en una federación que asegura la unidad nacional. </w:t>
      </w:r>
    </w:p>
    <w:p w14:paraId="203CB2BD" w14:textId="77777777" w:rsidR="001D5002" w:rsidRDefault="001D5002">
      <w:pPr>
        <w:pBdr>
          <w:top w:val="nil"/>
          <w:left w:val="nil"/>
          <w:bottom w:val="nil"/>
          <w:right w:val="nil"/>
          <w:between w:val="nil"/>
        </w:pBdr>
        <w:spacing w:before="100" w:after="100" w:line="360" w:lineRule="auto"/>
        <w:jc w:val="both"/>
        <w:rPr>
          <w:rFonts w:ascii="Arial" w:eastAsia="Arial" w:hAnsi="Arial" w:cs="Arial"/>
          <w:color w:val="000000"/>
        </w:rPr>
      </w:pPr>
    </w:p>
    <w:p w14:paraId="53A1CA6F" w14:textId="77777777" w:rsidR="001D5002" w:rsidRDefault="00B870AB">
      <w:pPr>
        <w:pBdr>
          <w:top w:val="nil"/>
          <w:left w:val="nil"/>
          <w:bottom w:val="nil"/>
          <w:right w:val="nil"/>
          <w:between w:val="nil"/>
        </w:pBdr>
        <w:spacing w:before="100" w:after="100" w:line="276" w:lineRule="auto"/>
        <w:ind w:left="708" w:firstLine="708"/>
        <w:jc w:val="both"/>
        <w:rPr>
          <w:rFonts w:ascii="Arial" w:eastAsia="Arial" w:hAnsi="Arial" w:cs="Arial"/>
          <w:color w:val="000000"/>
          <w:sz w:val="22"/>
          <w:szCs w:val="22"/>
        </w:rPr>
      </w:pPr>
      <w:r>
        <w:rPr>
          <w:rFonts w:ascii="Arial" w:eastAsia="Arial" w:hAnsi="Arial" w:cs="Arial"/>
          <w:i/>
          <w:iCs/>
          <w:color w:val="000000"/>
          <w:sz w:val="22"/>
          <w:szCs w:val="22"/>
        </w:rPr>
        <w:t>“</w:t>
      </w:r>
      <w:r>
        <w:rPr>
          <w:rFonts w:ascii="Arial" w:eastAsia="Arial" w:hAnsi="Arial" w:cs="Arial"/>
          <w:b/>
          <w:bCs/>
          <w:i/>
          <w:iCs/>
          <w:color w:val="000000"/>
          <w:sz w:val="22"/>
          <w:szCs w:val="22"/>
        </w:rPr>
        <w:t>Artículo 40</w:t>
      </w:r>
      <w:r>
        <w:rPr>
          <w:rFonts w:ascii="Arial" w:eastAsia="Arial" w:hAnsi="Arial" w:cs="Arial"/>
          <w:i/>
          <w:iCs/>
          <w:color w:val="000000"/>
          <w:sz w:val="22"/>
          <w:szCs w:val="22"/>
        </w:rPr>
        <w:t xml:space="preserve">. Es voluntad del pueblo mexicano constituirse en una </w:t>
      </w:r>
      <w:r>
        <w:rPr>
          <w:rFonts w:ascii="Arial" w:eastAsia="Arial" w:hAnsi="Arial" w:cs="Arial"/>
          <w:b/>
          <w:bCs/>
          <w:i/>
          <w:iCs/>
          <w:color w:val="000000"/>
          <w:sz w:val="22"/>
          <w:szCs w:val="22"/>
          <w:u w:val="single"/>
        </w:rPr>
        <w:t>República representativa, democrática, laica y federal, compuesta por Estados libres y soberanos en todo lo concerniente a su régimen interior</w:t>
      </w:r>
      <w:r>
        <w:rPr>
          <w:rFonts w:ascii="Arial" w:eastAsia="Arial" w:hAnsi="Arial" w:cs="Arial"/>
          <w:i/>
          <w:iCs/>
          <w:color w:val="000000"/>
          <w:sz w:val="22"/>
          <w:szCs w:val="22"/>
        </w:rPr>
        <w:t>, y por la Ciudad de México, unidos en una federación establecida según los principios de esta ley fundamental.</w:t>
      </w:r>
    </w:p>
    <w:p w14:paraId="00DFF2FF" w14:textId="77777777" w:rsidR="001D5002" w:rsidRDefault="00B870AB">
      <w:pPr>
        <w:pBdr>
          <w:top w:val="nil"/>
          <w:left w:val="nil"/>
          <w:bottom w:val="nil"/>
          <w:right w:val="nil"/>
          <w:between w:val="nil"/>
        </w:pBdr>
        <w:spacing w:before="100" w:after="100" w:line="276" w:lineRule="auto"/>
        <w:ind w:left="708"/>
        <w:jc w:val="both"/>
        <w:rPr>
          <w:rFonts w:ascii="Arial" w:eastAsia="Arial" w:hAnsi="Arial" w:cs="Arial"/>
          <w:color w:val="000000"/>
          <w:sz w:val="22"/>
          <w:szCs w:val="22"/>
        </w:rPr>
      </w:pPr>
      <w:r>
        <w:rPr>
          <w:rFonts w:ascii="Arial" w:eastAsia="Arial" w:hAnsi="Arial" w:cs="Arial"/>
          <w:i/>
          <w:iCs/>
          <w:color w:val="000000"/>
          <w:sz w:val="22"/>
          <w:szCs w:val="22"/>
        </w:rPr>
        <w:t>…</w:t>
      </w:r>
    </w:p>
    <w:p w14:paraId="2A79DEFB" w14:textId="77777777" w:rsidR="001D5002" w:rsidRDefault="00B870AB">
      <w:pPr>
        <w:pBdr>
          <w:top w:val="nil"/>
          <w:left w:val="nil"/>
          <w:bottom w:val="nil"/>
          <w:right w:val="nil"/>
          <w:between w:val="nil"/>
        </w:pBdr>
        <w:spacing w:before="100" w:after="100" w:line="276" w:lineRule="auto"/>
        <w:ind w:left="708"/>
        <w:jc w:val="both"/>
        <w:rPr>
          <w:rFonts w:ascii="Arial" w:eastAsia="Arial" w:hAnsi="Arial" w:cs="Arial"/>
          <w:color w:val="000000"/>
          <w:sz w:val="22"/>
          <w:szCs w:val="22"/>
        </w:rPr>
      </w:pPr>
      <w:r>
        <w:rPr>
          <w:rFonts w:ascii="Arial" w:eastAsia="Arial" w:hAnsi="Arial" w:cs="Arial"/>
          <w:i/>
          <w:iCs/>
          <w:color w:val="000000"/>
          <w:sz w:val="22"/>
          <w:szCs w:val="22"/>
        </w:rPr>
        <w:t>…”</w:t>
      </w:r>
    </w:p>
    <w:p w14:paraId="206BFB75" w14:textId="77777777" w:rsidR="001D5002" w:rsidRDefault="001D5002">
      <w:pPr>
        <w:pBdr>
          <w:top w:val="nil"/>
          <w:left w:val="nil"/>
          <w:bottom w:val="nil"/>
          <w:right w:val="nil"/>
          <w:between w:val="nil"/>
        </w:pBdr>
        <w:spacing w:before="100" w:after="100" w:line="276" w:lineRule="auto"/>
        <w:ind w:left="708"/>
        <w:jc w:val="both"/>
        <w:rPr>
          <w:rFonts w:ascii="Arial" w:eastAsia="Arial" w:hAnsi="Arial" w:cs="Arial"/>
          <w:color w:val="000000"/>
          <w:sz w:val="22"/>
          <w:szCs w:val="22"/>
        </w:rPr>
      </w:pPr>
    </w:p>
    <w:p w14:paraId="699A864A" w14:textId="77777777" w:rsidR="001D5002" w:rsidRDefault="00B870AB">
      <w:pPr>
        <w:pBdr>
          <w:top w:val="nil"/>
          <w:left w:val="nil"/>
          <w:bottom w:val="nil"/>
          <w:right w:val="nil"/>
          <w:between w:val="nil"/>
        </w:pBdr>
        <w:spacing w:before="100" w:after="100" w:line="360" w:lineRule="auto"/>
        <w:ind w:firstLine="708"/>
        <w:jc w:val="both"/>
        <w:rPr>
          <w:rFonts w:ascii="Arial" w:eastAsia="Arial" w:hAnsi="Arial" w:cs="Arial"/>
          <w:color w:val="000000"/>
        </w:rPr>
      </w:pPr>
      <w:r>
        <w:rPr>
          <w:rFonts w:ascii="Arial" w:eastAsia="Arial" w:hAnsi="Arial" w:cs="Arial"/>
          <w:color w:val="000000"/>
        </w:rPr>
        <w:t>Este diseño no responde a una lógica de subordinación, sino a un entramado de coordinación en el que confluyen las decisiones de los poderes federales con la participación activa de las entidades federativas.</w:t>
      </w:r>
    </w:p>
    <w:p w14:paraId="681EB1B7" w14:textId="77777777" w:rsidR="001D5002" w:rsidRDefault="001D5002">
      <w:pPr>
        <w:pBdr>
          <w:top w:val="nil"/>
          <w:left w:val="nil"/>
          <w:bottom w:val="nil"/>
          <w:right w:val="nil"/>
          <w:between w:val="nil"/>
        </w:pBdr>
        <w:spacing w:before="100" w:after="100" w:line="360" w:lineRule="auto"/>
        <w:ind w:firstLine="708"/>
        <w:jc w:val="both"/>
        <w:rPr>
          <w:rFonts w:ascii="Arial" w:eastAsia="Arial" w:hAnsi="Arial" w:cs="Arial"/>
          <w:color w:val="000000"/>
        </w:rPr>
      </w:pPr>
    </w:p>
    <w:p w14:paraId="7C94A021" w14:textId="77777777" w:rsidR="001D5002" w:rsidRDefault="00B870AB">
      <w:pPr>
        <w:pBdr>
          <w:top w:val="nil"/>
          <w:left w:val="nil"/>
          <w:bottom w:val="nil"/>
          <w:right w:val="nil"/>
          <w:between w:val="nil"/>
        </w:pBdr>
        <w:spacing w:before="100" w:after="100" w:line="360" w:lineRule="auto"/>
        <w:ind w:firstLine="708"/>
        <w:jc w:val="both"/>
        <w:rPr>
          <w:rFonts w:ascii="Arial" w:eastAsia="Arial" w:hAnsi="Arial" w:cs="Arial"/>
          <w:color w:val="000000"/>
        </w:rPr>
      </w:pPr>
      <w:r>
        <w:rPr>
          <w:rFonts w:ascii="Arial" w:eastAsia="Arial" w:hAnsi="Arial" w:cs="Arial"/>
          <w:color w:val="000000"/>
        </w:rPr>
        <w:t>En el mismo sentido el artículo 41 constitucional dispone que la soberanía del pueblo se ejerce a través de los poderes de la Unión en los asuntos de la competencia federal, y por los poderes de los estados en lo relativo a sus regímenes internos:</w:t>
      </w:r>
    </w:p>
    <w:p w14:paraId="6CD00C58" w14:textId="77777777" w:rsidR="001D5002" w:rsidRDefault="00B870AB">
      <w:pPr>
        <w:pBdr>
          <w:top w:val="nil"/>
          <w:left w:val="nil"/>
          <w:bottom w:val="nil"/>
          <w:right w:val="nil"/>
          <w:between w:val="nil"/>
        </w:pBdr>
        <w:spacing w:before="100" w:after="100" w:line="276" w:lineRule="auto"/>
        <w:ind w:firstLine="708"/>
        <w:jc w:val="both"/>
        <w:rPr>
          <w:rFonts w:ascii="Arial" w:eastAsia="Arial" w:hAnsi="Arial" w:cs="Arial"/>
          <w:color w:val="000000"/>
          <w:sz w:val="22"/>
          <w:szCs w:val="22"/>
        </w:rPr>
      </w:pPr>
      <w:r>
        <w:rPr>
          <w:rFonts w:ascii="Arial" w:eastAsia="Arial" w:hAnsi="Arial" w:cs="Arial"/>
          <w:i/>
          <w:iCs/>
          <w:color w:val="000000"/>
          <w:sz w:val="22"/>
          <w:szCs w:val="22"/>
        </w:rPr>
        <w:t>“</w:t>
      </w:r>
      <w:r>
        <w:rPr>
          <w:rFonts w:ascii="Arial" w:eastAsia="Arial" w:hAnsi="Arial" w:cs="Arial"/>
          <w:b/>
          <w:bCs/>
          <w:i/>
          <w:iCs/>
          <w:color w:val="000000"/>
          <w:sz w:val="22"/>
          <w:szCs w:val="22"/>
        </w:rPr>
        <w:t>Artículo 41.</w:t>
      </w:r>
      <w:r>
        <w:rPr>
          <w:rFonts w:ascii="Arial" w:eastAsia="Arial" w:hAnsi="Arial" w:cs="Arial"/>
          <w:i/>
          <w:iCs/>
          <w:color w:val="000000"/>
          <w:sz w:val="22"/>
          <w:szCs w:val="22"/>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w:t>
      </w:r>
      <w:r>
        <w:rPr>
          <w:rFonts w:ascii="Arial" w:eastAsia="Arial" w:hAnsi="Arial" w:cs="Arial"/>
          <w:b/>
          <w:bCs/>
          <w:i/>
          <w:iCs/>
          <w:color w:val="000000"/>
          <w:sz w:val="22"/>
          <w:szCs w:val="22"/>
          <w:u w:val="single"/>
        </w:rPr>
        <w:t>las que en ningún caso podrán contravenir las estipulaciones del Pacto Federal</w:t>
      </w:r>
      <w:r>
        <w:rPr>
          <w:rFonts w:ascii="Arial" w:eastAsia="Arial" w:hAnsi="Arial" w:cs="Arial"/>
          <w:i/>
          <w:iCs/>
          <w:color w:val="000000"/>
          <w:sz w:val="22"/>
          <w:szCs w:val="22"/>
        </w:rPr>
        <w:t>.</w:t>
      </w:r>
    </w:p>
    <w:p w14:paraId="04767DA4" w14:textId="77777777" w:rsidR="001D5002" w:rsidRDefault="00B870AB">
      <w:pPr>
        <w:pBdr>
          <w:top w:val="nil"/>
          <w:left w:val="nil"/>
          <w:bottom w:val="nil"/>
          <w:right w:val="nil"/>
          <w:between w:val="nil"/>
        </w:pBdr>
        <w:spacing w:before="100" w:after="100" w:line="276" w:lineRule="auto"/>
        <w:ind w:firstLine="708"/>
        <w:jc w:val="both"/>
        <w:rPr>
          <w:rFonts w:ascii="Arial" w:eastAsia="Arial" w:hAnsi="Arial" w:cs="Arial"/>
          <w:color w:val="000000"/>
          <w:sz w:val="22"/>
          <w:szCs w:val="22"/>
        </w:rPr>
      </w:pPr>
      <w:r>
        <w:rPr>
          <w:rFonts w:ascii="Arial" w:eastAsia="Arial" w:hAnsi="Arial" w:cs="Arial"/>
          <w:i/>
          <w:iCs/>
          <w:color w:val="000000"/>
          <w:sz w:val="22"/>
          <w:szCs w:val="22"/>
        </w:rPr>
        <w:t>…</w:t>
      </w:r>
    </w:p>
    <w:p w14:paraId="50BE9ED2" w14:textId="77777777" w:rsidR="001D5002" w:rsidRDefault="00B870AB">
      <w:pPr>
        <w:pBdr>
          <w:top w:val="nil"/>
          <w:left w:val="nil"/>
          <w:bottom w:val="nil"/>
          <w:right w:val="nil"/>
          <w:between w:val="nil"/>
        </w:pBdr>
        <w:spacing w:before="100" w:after="100" w:line="276" w:lineRule="auto"/>
        <w:ind w:firstLine="708"/>
        <w:jc w:val="both"/>
        <w:rPr>
          <w:rFonts w:ascii="Arial" w:eastAsia="Arial" w:hAnsi="Arial" w:cs="Arial"/>
          <w:color w:val="000000"/>
          <w:sz w:val="22"/>
          <w:szCs w:val="22"/>
        </w:rPr>
      </w:pPr>
      <w:r>
        <w:rPr>
          <w:rFonts w:ascii="Arial" w:eastAsia="Arial" w:hAnsi="Arial" w:cs="Arial"/>
          <w:i/>
          <w:iCs/>
          <w:color w:val="000000"/>
          <w:sz w:val="22"/>
          <w:szCs w:val="22"/>
        </w:rPr>
        <w:t>…”</w:t>
      </w:r>
    </w:p>
    <w:p w14:paraId="3BDFB881"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 así como los principios antes mencionados convergen en el artículo 135 constitucional que regula el procedimiento de reforma a la Carta Magna, previendo un esquema rígido y formal: las reformas deben ser aprobadas por el voto calificado de las dos terceras partes de los individuos presentes en el Congreso de la Unión y, posteriormente, ratificadas por la mayoría de las legislaturas de las entidades federativas y de la Ciudad de México. </w:t>
      </w:r>
    </w:p>
    <w:p w14:paraId="10B5FB04" w14:textId="77777777" w:rsidR="001D5002" w:rsidRDefault="00B870AB">
      <w:pPr>
        <w:pBdr>
          <w:top w:val="nil"/>
          <w:left w:val="nil"/>
          <w:bottom w:val="nil"/>
          <w:right w:val="nil"/>
          <w:between w:val="nil"/>
        </w:pBdr>
        <w:spacing w:after="120" w:line="276" w:lineRule="auto"/>
        <w:ind w:left="708" w:firstLine="708"/>
        <w:jc w:val="both"/>
        <w:rPr>
          <w:rFonts w:ascii="Arial" w:eastAsia="Arial" w:hAnsi="Arial" w:cs="Arial"/>
          <w:color w:val="000000"/>
          <w:sz w:val="22"/>
          <w:szCs w:val="22"/>
        </w:rPr>
      </w:pPr>
      <w:r>
        <w:rPr>
          <w:rFonts w:ascii="Arial" w:eastAsia="Arial" w:hAnsi="Arial" w:cs="Arial"/>
          <w:b/>
          <w:bCs/>
          <w:i/>
          <w:iCs/>
          <w:color w:val="000000"/>
          <w:sz w:val="22"/>
          <w:szCs w:val="22"/>
        </w:rPr>
        <w:t>“Artículo 135.</w:t>
      </w:r>
      <w:r>
        <w:rPr>
          <w:rFonts w:ascii="Arial" w:eastAsia="Arial" w:hAnsi="Arial" w:cs="Arial"/>
          <w:i/>
          <w:iCs/>
          <w:color w:val="000000"/>
          <w:sz w:val="22"/>
          <w:szCs w:val="22"/>
        </w:rPr>
        <w:t xml:space="preserve"> La presente Constitución puede ser adicionada o reformada. Para que las adiciones o reformas lleguen a ser parte de la misma, se requiere que el Congreso de la Unión, por </w:t>
      </w:r>
      <w:r>
        <w:rPr>
          <w:rFonts w:ascii="Arial" w:eastAsia="Arial" w:hAnsi="Arial" w:cs="Arial"/>
          <w:b/>
          <w:bCs/>
          <w:i/>
          <w:iCs/>
          <w:color w:val="000000"/>
          <w:sz w:val="22"/>
          <w:szCs w:val="22"/>
          <w:u w:val="single"/>
        </w:rPr>
        <w:t>el voto de las dos terceras partes de los individuos presentes,</w:t>
      </w:r>
      <w:r>
        <w:rPr>
          <w:rFonts w:ascii="Arial" w:eastAsia="Arial" w:hAnsi="Arial" w:cs="Arial"/>
          <w:i/>
          <w:iCs/>
          <w:color w:val="000000"/>
          <w:sz w:val="22"/>
          <w:szCs w:val="22"/>
        </w:rPr>
        <w:t xml:space="preserve"> acuerden las reformas o adiciones, y </w:t>
      </w:r>
      <w:r>
        <w:rPr>
          <w:rFonts w:ascii="Arial" w:eastAsia="Arial" w:hAnsi="Arial" w:cs="Arial"/>
          <w:b/>
          <w:bCs/>
          <w:i/>
          <w:iCs/>
          <w:color w:val="000000"/>
          <w:sz w:val="22"/>
          <w:szCs w:val="22"/>
          <w:u w:val="single"/>
        </w:rPr>
        <w:t>que éstas sean aprobadas por la mayoría de las legislaturas</w:t>
      </w:r>
      <w:r>
        <w:rPr>
          <w:rFonts w:ascii="Arial" w:eastAsia="Arial" w:hAnsi="Arial" w:cs="Arial"/>
          <w:i/>
          <w:iCs/>
          <w:color w:val="000000"/>
          <w:sz w:val="22"/>
          <w:szCs w:val="22"/>
          <w:u w:val="single"/>
        </w:rPr>
        <w:t xml:space="preserve"> </w:t>
      </w:r>
      <w:r>
        <w:rPr>
          <w:rFonts w:ascii="Arial" w:eastAsia="Arial" w:hAnsi="Arial" w:cs="Arial"/>
          <w:b/>
          <w:bCs/>
          <w:i/>
          <w:iCs/>
          <w:color w:val="000000"/>
          <w:sz w:val="22"/>
          <w:szCs w:val="22"/>
          <w:u w:val="single"/>
        </w:rPr>
        <w:t>de los Estados</w:t>
      </w:r>
      <w:r>
        <w:rPr>
          <w:rFonts w:ascii="Arial" w:eastAsia="Arial" w:hAnsi="Arial" w:cs="Arial"/>
          <w:i/>
          <w:iCs/>
          <w:color w:val="000000"/>
          <w:sz w:val="22"/>
          <w:szCs w:val="22"/>
        </w:rPr>
        <w:t xml:space="preserve"> y de la Ciudad de México.</w:t>
      </w:r>
    </w:p>
    <w:p w14:paraId="306B8D3D" w14:textId="77777777" w:rsidR="001D5002" w:rsidRDefault="00B870AB">
      <w:pPr>
        <w:pBdr>
          <w:top w:val="nil"/>
          <w:left w:val="nil"/>
          <w:bottom w:val="nil"/>
          <w:right w:val="nil"/>
          <w:between w:val="nil"/>
        </w:pBdr>
        <w:spacing w:after="120" w:line="276" w:lineRule="auto"/>
        <w:ind w:left="708" w:firstLine="708"/>
        <w:jc w:val="both"/>
        <w:rPr>
          <w:rFonts w:ascii="Arial" w:eastAsia="Arial" w:hAnsi="Arial" w:cs="Arial"/>
          <w:color w:val="000000"/>
          <w:sz w:val="22"/>
          <w:szCs w:val="22"/>
        </w:rPr>
      </w:pPr>
      <w:r>
        <w:rPr>
          <w:rFonts w:ascii="Arial" w:eastAsia="Arial" w:hAnsi="Arial" w:cs="Arial"/>
          <w:i/>
          <w:iCs/>
          <w:color w:val="000000"/>
          <w:sz w:val="22"/>
          <w:szCs w:val="22"/>
        </w:rPr>
        <w:t>El Congreso de la Unión o la Comisión Permanente en su caso, harán el cómputo de los votos de las Legislaturas y la declaración de haber sido aprobadas las adiciones o reformas.”</w:t>
      </w:r>
    </w:p>
    <w:p w14:paraId="29162D43"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Por lo tanto una vez satisfecho este doble requisito, procede el cómputo y la declaración de aprobación, para su posterior promulgación. En este marco, la participación de los congresos locales en el proceso de reforma constitucional no es un simple trámite, sino la expresión de la voluntad soberana de cada entidad, que, sumada a la de las demás, integra el denominado Constituyente Permanente.</w:t>
      </w:r>
    </w:p>
    <w:p w14:paraId="52D31D7C" w14:textId="77777777" w:rsidR="001D5002" w:rsidRDefault="00B870AB">
      <w:pPr>
        <w:spacing w:before="280" w:after="280" w:line="360" w:lineRule="auto"/>
        <w:ind w:firstLine="708"/>
        <w:jc w:val="both"/>
      </w:pPr>
      <w:r>
        <w:rPr>
          <w:rFonts w:ascii="Arial" w:eastAsia="Arial" w:hAnsi="Arial" w:cs="Arial"/>
        </w:rPr>
        <w:t xml:space="preserve">Lo anterior se complementa con el contenido del artículo 124 constitucional donde se establece que las facultades no conferidas expresamente a la Federación se entienden reservadas a los estados, </w:t>
      </w:r>
      <w:r>
        <w:rPr>
          <w:rFonts w:ascii="Arial" w:eastAsia="Arial" w:hAnsi="Arial" w:cs="Arial"/>
          <w:b/>
          <w:bCs/>
          <w:u w:val="single"/>
        </w:rPr>
        <w:t>lo que habilita a las legislaturas locales para organizar sus procedimientos internos de votación sobre las minutas federales</w:t>
      </w:r>
      <w:r>
        <w:rPr>
          <w:rFonts w:ascii="Arial" w:eastAsia="Arial" w:hAnsi="Arial" w:cs="Arial"/>
        </w:rPr>
        <w:t>, siempre dentro de los límites que impone la propia Constitución</w:t>
      </w:r>
      <w:r>
        <w:t>.</w:t>
      </w:r>
    </w:p>
    <w:p w14:paraId="081EF617"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De esta manera, la complejidad del procedimiento revela su función de garantía. No basta con la voluntad coyuntural de una mayoría en el Congreso de la Unión; se exige también la ratificación de la mayoría de los congresos locales, lo cual asegura que las reformas constitucionales respondan a un acuerdo nacional amplio. Así, la rigidez constitucional preserva la supremacía de la Norma Fundamental y reafirma la esencia del pacto federal.</w:t>
      </w:r>
    </w:p>
    <w:p w14:paraId="26D3943E"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CUARTA.</w:t>
      </w:r>
      <w:r>
        <w:rPr>
          <w:rFonts w:ascii="Arial" w:eastAsia="Arial" w:hAnsi="Arial" w:cs="Arial"/>
          <w:color w:val="000000"/>
        </w:rPr>
        <w:t xml:space="preserve"> Ahora bien, en lo relativo al trámite de las minutas federales para efectos de reforma constitucional, los integrantes de esta Comisión Permanente consideramos indispensable precisar que el Reglamento de la Ley de Gobierno del Poder Legislativo del Estado de Yucatán establece un procedimiento específico encaminado a dotar de certeza, legalidad y transparencia a su resolución dada su gran relevancia.</w:t>
      </w:r>
    </w:p>
    <w:p w14:paraId="1DEAD7BB"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En primer término, el artículo 54 del Reglamento señala que la Presidencia de la Mesa Directiva debe integrar el Orden del Día de cada sesión, incorporando con la debida prioridad las comunicaciones oficiales provenientes de los poderes federales, incluidas las minutas de reformas a la constitución federal, en razón de que se trata de asuntos sujetos a términos constitucionales. Una vez recibida la minuta en la Oficialía de Partes y turnada a la Mesa Directiva, el artículo 58 faculta a la Presidencia de la Mesa Directiva para enviarla a la Comisión competente, en este caso la Comisión Permanente de Puntos Constitucionales y Gobernación, para efectos de dictamen. </w:t>
      </w:r>
    </w:p>
    <w:p w14:paraId="5562E62B"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el procedimiento de dictaminación, el artículo 71 dispone que las comisiones deben emitir un dictamen por escrito que contenga una opinión técnica colegiada, contemplando dentro de este supuesto a las minutas federales. Por su parte, el artículo 72 establece que los dictámenes que atiendan a dichas minutas deben referirse exclusivamente a éstas, lo que refleja la naturaleza rígida de su trámite: se limita a la aprobación o rechazo, sin posibilidad de introducir modificaciones al contenido, conforme a lo dispuesto en el artículo 135 de la Constitución Federal.</w:t>
      </w:r>
    </w:p>
    <w:p w14:paraId="4E24D32A" w14:textId="77777777" w:rsidR="001D5002" w:rsidRDefault="00B870AB">
      <w:pPr>
        <w:spacing w:line="360" w:lineRule="auto"/>
        <w:ind w:left="63" w:right="6" w:firstLine="645"/>
        <w:jc w:val="both"/>
        <w:rPr>
          <w:rFonts w:ascii="Arial" w:eastAsia="Arial" w:hAnsi="Arial" w:cs="Arial"/>
        </w:rPr>
      </w:pPr>
      <w:r>
        <w:rPr>
          <w:rFonts w:ascii="Arial" w:eastAsia="Arial" w:hAnsi="Arial" w:cs="Arial"/>
        </w:rPr>
        <w:t>Asimismo, conforme al artículo 74, las iniciativas turnadas a una Comisión Permanente deberán ser distribuidas a sus integrantes en un plazo no mayor a 60 días hábiles, contados a partir de su recepción y el dictamen resultado de este trabajo de análisis dictamen será válido sólo cuando los integrantes de la Comisión discutan el asunto en sesión y éste se apruebe, por lo menos por mayoría. Complementariamente, el artículo 106 ordena que la votación de estas minutas se realice de manera nominal, dada su trascendencia, garantizando así la transparencia y la certeza en la expresión de la voluntad parlamentaria.</w:t>
      </w:r>
    </w:p>
    <w:p w14:paraId="75C5E066" w14:textId="77777777" w:rsidR="001D5002" w:rsidRDefault="001D5002">
      <w:pPr>
        <w:spacing w:line="360" w:lineRule="auto"/>
        <w:ind w:left="63" w:right="6" w:firstLine="645"/>
        <w:jc w:val="both"/>
        <w:rPr>
          <w:rFonts w:ascii="Arial" w:eastAsia="Arial" w:hAnsi="Arial" w:cs="Arial"/>
        </w:rPr>
      </w:pPr>
    </w:p>
    <w:p w14:paraId="433EA9B5" w14:textId="77777777" w:rsidR="001D5002" w:rsidRDefault="00B870AB">
      <w:pPr>
        <w:spacing w:line="360" w:lineRule="auto"/>
        <w:ind w:left="63" w:right="6" w:firstLine="645"/>
        <w:jc w:val="both"/>
        <w:rPr>
          <w:rFonts w:ascii="Arial" w:eastAsia="Arial" w:hAnsi="Arial" w:cs="Arial"/>
        </w:rPr>
      </w:pPr>
      <w:r>
        <w:rPr>
          <w:rFonts w:ascii="Arial" w:eastAsia="Arial" w:hAnsi="Arial" w:cs="Arial"/>
        </w:rPr>
        <w:t>Finalmente, una vez discutida la minuta en el Pleno y realizada la votación nominal correspondiente, el resultado se comunica al Congreso de la Unión para efectos del cómputo nacional previsto en el artículo 135 constitucional, conforme a lo dispuesto en los artículos 117 a 123 del Reglamento, que norman la elaboración y envío de minutas, así como la emisión del decreto respectivo que formaliza la decisión del Honorable Congreso del Estado.</w:t>
      </w:r>
    </w:p>
    <w:p w14:paraId="560159F2"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En suma, el procedimiento aplicable a las minutas federales en el Congreso del Estado de Yucatán se desenvuelve en etapas claramente definidas: </w:t>
      </w:r>
      <w:r>
        <w:rPr>
          <w:rFonts w:ascii="Arial" w:eastAsia="Arial" w:hAnsi="Arial" w:cs="Arial"/>
          <w:b/>
          <w:bCs/>
        </w:rPr>
        <w:t>a)</w:t>
      </w:r>
      <w:r>
        <w:rPr>
          <w:rFonts w:ascii="Arial" w:eastAsia="Arial" w:hAnsi="Arial" w:cs="Arial"/>
        </w:rPr>
        <w:t xml:space="preserve"> su recepción formal, ya sea enviada por la Cámara de Senadores o la Cámara de Diputados, para la Presidencia de la Mesa Directiva; </w:t>
      </w:r>
      <w:r>
        <w:rPr>
          <w:rFonts w:ascii="Arial" w:eastAsia="Arial" w:hAnsi="Arial" w:cs="Arial"/>
          <w:b/>
          <w:bCs/>
        </w:rPr>
        <w:t>b)</w:t>
      </w:r>
      <w:r>
        <w:rPr>
          <w:rFonts w:ascii="Arial" w:eastAsia="Arial" w:hAnsi="Arial" w:cs="Arial"/>
        </w:rPr>
        <w:t xml:space="preserve"> el señalamiento de la fecha de turne por la Mesa Directiva hacia la Comisión Permanente competente; </w:t>
      </w:r>
      <w:r>
        <w:rPr>
          <w:rFonts w:ascii="Arial" w:eastAsia="Arial" w:hAnsi="Arial" w:cs="Arial"/>
          <w:b/>
          <w:bCs/>
        </w:rPr>
        <w:t>c)</w:t>
      </w:r>
      <w:r>
        <w:rPr>
          <w:rFonts w:ascii="Arial" w:eastAsia="Arial" w:hAnsi="Arial" w:cs="Arial"/>
        </w:rPr>
        <w:t xml:space="preserve"> la distribución de su contenido a las diputadas y diputados; </w:t>
      </w:r>
      <w:r>
        <w:rPr>
          <w:rFonts w:ascii="Arial" w:eastAsia="Arial" w:hAnsi="Arial" w:cs="Arial"/>
          <w:b/>
          <w:bCs/>
        </w:rPr>
        <w:t>d)</w:t>
      </w:r>
      <w:r>
        <w:rPr>
          <w:rFonts w:ascii="Arial" w:eastAsia="Arial" w:hAnsi="Arial" w:cs="Arial"/>
        </w:rPr>
        <w:t xml:space="preserve"> la elaboración, discusión y votación de un proyecto dictamen por parte de la Comisión Permanente de Puntos Constitucionales y Gobernación; </w:t>
      </w:r>
      <w:r>
        <w:rPr>
          <w:rFonts w:ascii="Arial" w:eastAsia="Arial" w:hAnsi="Arial" w:cs="Arial"/>
          <w:b/>
          <w:bCs/>
        </w:rPr>
        <w:t>e)</w:t>
      </w:r>
      <w:r>
        <w:rPr>
          <w:rFonts w:ascii="Arial" w:eastAsia="Arial" w:hAnsi="Arial" w:cs="Arial"/>
        </w:rPr>
        <w:t xml:space="preserve"> la discusión y votación de la minuta en el Pleno del Congreso, con carácter nominal; y </w:t>
      </w:r>
      <w:r>
        <w:rPr>
          <w:rFonts w:ascii="Arial" w:eastAsia="Arial" w:hAnsi="Arial" w:cs="Arial"/>
          <w:b/>
          <w:bCs/>
        </w:rPr>
        <w:t>f)</w:t>
      </w:r>
      <w:r>
        <w:rPr>
          <w:rFonts w:ascii="Arial" w:eastAsia="Arial" w:hAnsi="Arial" w:cs="Arial"/>
        </w:rPr>
        <w:t xml:space="preserve"> la emisión del decreto correspondiente, que se remite al Congreso de la Unión para el cómputo nacional.</w:t>
      </w:r>
    </w:p>
    <w:p w14:paraId="0CE486E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Este encadenamiento de pasos genera un itinerario legislativo innecesariamente extenso si se considera que, a diferencia de otros asuntos parlamentarios, </w:t>
      </w:r>
      <w:r>
        <w:rPr>
          <w:rFonts w:ascii="Arial" w:eastAsia="Arial" w:hAnsi="Arial" w:cs="Arial"/>
          <w:b/>
          <w:bCs/>
          <w:u w:val="single"/>
        </w:rPr>
        <w:t>en las minutas federales no existe margen de modificación ni espacio real de aportación sustantiva en comisión.</w:t>
      </w:r>
      <w:r>
        <w:rPr>
          <w:rFonts w:ascii="Arial" w:eastAsia="Arial" w:hAnsi="Arial" w:cs="Arial"/>
        </w:rPr>
        <w:t xml:space="preserve"> </w:t>
      </w:r>
    </w:p>
    <w:p w14:paraId="361864FF" w14:textId="77777777" w:rsidR="001D5002" w:rsidRDefault="00B870AB">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bCs/>
          <w:color w:val="000000"/>
        </w:rPr>
        <w:t>QUINTA.</w:t>
      </w:r>
      <w:r>
        <w:rPr>
          <w:rFonts w:ascii="Arial" w:eastAsia="Arial" w:hAnsi="Arial" w:cs="Arial"/>
          <w:color w:val="000000"/>
        </w:rPr>
        <w:t xml:space="preserve"> En sustento de lo anterior, se expone que a la fecha del día de hoy, la LXIV Legislatura del Honorable Congreso del Estado de Yucatán ha sometido a votación y aprobado un total de veintidós Minutas Federales enviadas por el Honorable Congreso de la Unión, tal como se expone en el siguiente cuadro acompañado de las fechas exactas de cada momento procesal:</w:t>
      </w:r>
    </w:p>
    <w:p w14:paraId="60E767FF" w14:textId="77777777" w:rsidR="001D5002" w:rsidRDefault="001D5002">
      <w:pPr>
        <w:pBdr>
          <w:top w:val="nil"/>
          <w:left w:val="nil"/>
          <w:bottom w:val="nil"/>
          <w:right w:val="nil"/>
          <w:between w:val="nil"/>
        </w:pBdr>
        <w:spacing w:line="360" w:lineRule="auto"/>
        <w:jc w:val="both"/>
        <w:rPr>
          <w:rFonts w:ascii="Arial" w:eastAsia="Arial" w:hAnsi="Arial" w:cs="Arial"/>
          <w:color w:val="000000"/>
        </w:rPr>
      </w:pPr>
    </w:p>
    <w:tbl>
      <w:tblPr>
        <w:tblStyle w:val="2"/>
        <w:tblW w:w="1049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1276"/>
        <w:gridCol w:w="1133"/>
        <w:gridCol w:w="1276"/>
        <w:gridCol w:w="1276"/>
        <w:gridCol w:w="992"/>
        <w:gridCol w:w="1276"/>
      </w:tblGrid>
      <w:tr w:rsidR="001D5002" w14:paraId="49D015A6" w14:textId="77777777">
        <w:trPr>
          <w:trHeight w:val="631"/>
        </w:trPr>
        <w:tc>
          <w:tcPr>
            <w:tcW w:w="3261" w:type="dxa"/>
            <w:shd w:val="clear" w:color="auto" w:fill="000000"/>
            <w:vAlign w:val="center"/>
          </w:tcPr>
          <w:p w14:paraId="288D87EA" w14:textId="77777777" w:rsidR="001D5002" w:rsidRDefault="00B870AB">
            <w:pPr>
              <w:jc w:val="center"/>
              <w:rPr>
                <w:rFonts w:ascii="Arial" w:eastAsia="Arial" w:hAnsi="Arial" w:cs="Arial"/>
                <w:sz w:val="20"/>
                <w:szCs w:val="20"/>
              </w:rPr>
            </w:pPr>
            <w:r>
              <w:rPr>
                <w:rFonts w:ascii="Arial" w:eastAsia="Arial" w:hAnsi="Arial" w:cs="Arial"/>
                <w:sz w:val="20"/>
                <w:szCs w:val="20"/>
              </w:rPr>
              <w:t>NOMBRE</w:t>
            </w:r>
          </w:p>
        </w:tc>
        <w:tc>
          <w:tcPr>
            <w:tcW w:w="1276" w:type="dxa"/>
            <w:shd w:val="clear" w:color="auto" w:fill="000000"/>
            <w:vAlign w:val="center"/>
          </w:tcPr>
          <w:p w14:paraId="58A3F386" w14:textId="77777777" w:rsidR="001D5002" w:rsidRDefault="00B870AB">
            <w:pPr>
              <w:jc w:val="center"/>
              <w:rPr>
                <w:rFonts w:ascii="Arial" w:eastAsia="Arial" w:hAnsi="Arial" w:cs="Arial"/>
                <w:sz w:val="20"/>
                <w:szCs w:val="20"/>
              </w:rPr>
            </w:pPr>
            <w:r>
              <w:rPr>
                <w:rFonts w:ascii="Arial" w:eastAsia="Arial" w:hAnsi="Arial" w:cs="Arial"/>
                <w:sz w:val="20"/>
                <w:szCs w:val="20"/>
              </w:rPr>
              <w:t>FECHA DE RECEPCIÓN</w:t>
            </w:r>
          </w:p>
        </w:tc>
        <w:tc>
          <w:tcPr>
            <w:tcW w:w="1133" w:type="dxa"/>
            <w:shd w:val="clear" w:color="auto" w:fill="000000"/>
            <w:vAlign w:val="center"/>
          </w:tcPr>
          <w:p w14:paraId="24C23B84" w14:textId="77777777" w:rsidR="001D5002" w:rsidRDefault="00B870AB">
            <w:pPr>
              <w:jc w:val="center"/>
              <w:rPr>
                <w:rFonts w:ascii="Arial" w:eastAsia="Arial" w:hAnsi="Arial" w:cs="Arial"/>
                <w:sz w:val="20"/>
                <w:szCs w:val="20"/>
              </w:rPr>
            </w:pPr>
            <w:r>
              <w:rPr>
                <w:rFonts w:ascii="Arial" w:eastAsia="Arial" w:hAnsi="Arial" w:cs="Arial"/>
                <w:sz w:val="20"/>
                <w:szCs w:val="20"/>
              </w:rPr>
              <w:t>FECHA DE TURNE</w:t>
            </w:r>
          </w:p>
        </w:tc>
        <w:tc>
          <w:tcPr>
            <w:tcW w:w="1276" w:type="dxa"/>
            <w:shd w:val="clear" w:color="auto" w:fill="000000"/>
            <w:vAlign w:val="center"/>
          </w:tcPr>
          <w:p w14:paraId="4A71F6A4" w14:textId="77777777" w:rsidR="001D5002" w:rsidRDefault="00B870AB">
            <w:pPr>
              <w:jc w:val="center"/>
              <w:rPr>
                <w:rFonts w:ascii="Arial" w:eastAsia="Arial" w:hAnsi="Arial" w:cs="Arial"/>
                <w:sz w:val="20"/>
                <w:szCs w:val="20"/>
              </w:rPr>
            </w:pPr>
            <w:r>
              <w:rPr>
                <w:rFonts w:ascii="Arial" w:eastAsia="Arial" w:hAnsi="Arial" w:cs="Arial"/>
                <w:sz w:val="20"/>
                <w:szCs w:val="20"/>
              </w:rPr>
              <w:t>DISTRIBUCIÓN</w:t>
            </w:r>
          </w:p>
        </w:tc>
        <w:tc>
          <w:tcPr>
            <w:tcW w:w="1276" w:type="dxa"/>
            <w:shd w:val="clear" w:color="auto" w:fill="000000"/>
            <w:vAlign w:val="center"/>
          </w:tcPr>
          <w:p w14:paraId="110FDA8E" w14:textId="77777777" w:rsidR="001D5002" w:rsidRDefault="00B870AB">
            <w:pPr>
              <w:jc w:val="center"/>
              <w:rPr>
                <w:rFonts w:ascii="Arial" w:eastAsia="Arial" w:hAnsi="Arial" w:cs="Arial"/>
                <w:sz w:val="20"/>
                <w:szCs w:val="20"/>
              </w:rPr>
            </w:pPr>
            <w:r>
              <w:rPr>
                <w:rFonts w:ascii="Arial" w:eastAsia="Arial" w:hAnsi="Arial" w:cs="Arial"/>
                <w:sz w:val="20"/>
                <w:szCs w:val="20"/>
              </w:rPr>
              <w:t>DICTAMEN</w:t>
            </w:r>
          </w:p>
        </w:tc>
        <w:tc>
          <w:tcPr>
            <w:tcW w:w="992" w:type="dxa"/>
            <w:shd w:val="clear" w:color="auto" w:fill="000000"/>
            <w:vAlign w:val="center"/>
          </w:tcPr>
          <w:p w14:paraId="28403F6C" w14:textId="77777777" w:rsidR="001D5002" w:rsidRDefault="00B870AB">
            <w:pPr>
              <w:jc w:val="center"/>
              <w:rPr>
                <w:rFonts w:ascii="Arial" w:eastAsia="Arial" w:hAnsi="Arial" w:cs="Arial"/>
                <w:sz w:val="20"/>
                <w:szCs w:val="20"/>
              </w:rPr>
            </w:pPr>
            <w:r>
              <w:rPr>
                <w:rFonts w:ascii="Arial" w:eastAsia="Arial" w:hAnsi="Arial" w:cs="Arial"/>
                <w:sz w:val="20"/>
                <w:szCs w:val="20"/>
              </w:rPr>
              <w:t>MINUTA</w:t>
            </w:r>
          </w:p>
        </w:tc>
        <w:tc>
          <w:tcPr>
            <w:tcW w:w="1276" w:type="dxa"/>
            <w:shd w:val="clear" w:color="auto" w:fill="000000"/>
            <w:vAlign w:val="center"/>
          </w:tcPr>
          <w:p w14:paraId="43CDD0CD" w14:textId="77777777" w:rsidR="001D5002" w:rsidRDefault="00B870AB">
            <w:pPr>
              <w:jc w:val="center"/>
              <w:rPr>
                <w:rFonts w:ascii="Arial" w:eastAsia="Arial" w:hAnsi="Arial" w:cs="Arial"/>
                <w:sz w:val="20"/>
                <w:szCs w:val="20"/>
              </w:rPr>
            </w:pPr>
            <w:r>
              <w:rPr>
                <w:rFonts w:ascii="Arial" w:eastAsia="Arial" w:hAnsi="Arial" w:cs="Arial"/>
                <w:sz w:val="20"/>
                <w:szCs w:val="20"/>
              </w:rPr>
              <w:t>DECRETO</w:t>
            </w:r>
          </w:p>
        </w:tc>
      </w:tr>
      <w:tr w:rsidR="001D5002" w14:paraId="7F6024E6" w14:textId="77777777">
        <w:trPr>
          <w:trHeight w:val="1860"/>
        </w:trPr>
        <w:tc>
          <w:tcPr>
            <w:tcW w:w="3261" w:type="dxa"/>
            <w:vAlign w:val="center"/>
          </w:tcPr>
          <w:p w14:paraId="4EDB5E97"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adicionan y derogan diversas disposiciones de la Constitución Política de los Estados Unidos Mexicanos,</w:t>
            </w:r>
            <w:r>
              <w:rPr>
                <w:rFonts w:ascii="Arial" w:eastAsia="Arial" w:hAnsi="Arial" w:cs="Arial"/>
                <w:color w:val="000000"/>
                <w:sz w:val="20"/>
                <w:szCs w:val="20"/>
              </w:rPr>
              <w:t xml:space="preserve"> en materia de Reforma del Poder Judicial, remitida por la Cámara de Senadores del Honorable Congreso de la Unión.</w:t>
            </w:r>
          </w:p>
        </w:tc>
        <w:tc>
          <w:tcPr>
            <w:tcW w:w="1276" w:type="dxa"/>
            <w:vAlign w:val="center"/>
          </w:tcPr>
          <w:p w14:paraId="50C8A62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11-09-24</w:t>
            </w:r>
          </w:p>
        </w:tc>
        <w:tc>
          <w:tcPr>
            <w:tcW w:w="1133" w:type="dxa"/>
            <w:vAlign w:val="center"/>
          </w:tcPr>
          <w:p w14:paraId="3C9B74E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11-09-24</w:t>
            </w:r>
          </w:p>
        </w:tc>
        <w:tc>
          <w:tcPr>
            <w:tcW w:w="1276" w:type="dxa"/>
            <w:vAlign w:val="center"/>
          </w:tcPr>
          <w:p w14:paraId="32E054A7"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11-09-24                        </w:t>
            </w:r>
          </w:p>
        </w:tc>
        <w:tc>
          <w:tcPr>
            <w:tcW w:w="1276" w:type="dxa"/>
            <w:vAlign w:val="center"/>
          </w:tcPr>
          <w:p w14:paraId="631C4DE0"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11-09-24</w:t>
            </w:r>
          </w:p>
        </w:tc>
        <w:tc>
          <w:tcPr>
            <w:tcW w:w="992" w:type="dxa"/>
            <w:vAlign w:val="center"/>
          </w:tcPr>
          <w:p w14:paraId="4FE487F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11-09-24</w:t>
            </w:r>
          </w:p>
        </w:tc>
        <w:tc>
          <w:tcPr>
            <w:tcW w:w="1276" w:type="dxa"/>
            <w:vAlign w:val="center"/>
          </w:tcPr>
          <w:p w14:paraId="0D4085F8" w14:textId="77777777" w:rsidR="001D5002" w:rsidRDefault="00B870AB">
            <w:pPr>
              <w:jc w:val="center"/>
              <w:rPr>
                <w:rFonts w:ascii="Arial" w:eastAsia="Arial" w:hAnsi="Arial" w:cs="Arial"/>
                <w:sz w:val="20"/>
                <w:szCs w:val="20"/>
              </w:rPr>
            </w:pPr>
            <w:r>
              <w:rPr>
                <w:rFonts w:ascii="Arial" w:eastAsia="Arial" w:hAnsi="Arial" w:cs="Arial"/>
                <w:sz w:val="20"/>
                <w:szCs w:val="20"/>
              </w:rPr>
              <w:t>839/2024</w:t>
            </w:r>
          </w:p>
        </w:tc>
      </w:tr>
      <w:tr w:rsidR="001D5002" w14:paraId="43DA327B" w14:textId="77777777">
        <w:trPr>
          <w:trHeight w:val="3594"/>
        </w:trPr>
        <w:tc>
          <w:tcPr>
            <w:tcW w:w="3261" w:type="dxa"/>
            <w:vAlign w:val="center"/>
          </w:tcPr>
          <w:p w14:paraId="26749965"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 adiciona y deroga el artículo 2o. de la Constitución Política de los Estados Unidos Mexicanos, en materia de pueblos y comunidades Indígenas y Afromexicanos</w:t>
            </w:r>
            <w:r>
              <w:rPr>
                <w:rFonts w:ascii="Arial" w:eastAsia="Arial" w:hAnsi="Arial" w:cs="Arial"/>
                <w:color w:val="000000"/>
                <w:sz w:val="20"/>
                <w:szCs w:val="20"/>
              </w:rPr>
              <w:t>, remitida por la Cámara de Senadores del Honorable Congreso de la Unión.</w:t>
            </w:r>
          </w:p>
        </w:tc>
        <w:tc>
          <w:tcPr>
            <w:tcW w:w="1276" w:type="dxa"/>
            <w:vAlign w:val="center"/>
          </w:tcPr>
          <w:p w14:paraId="622D8BA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25-09-24</w:t>
            </w:r>
          </w:p>
        </w:tc>
        <w:tc>
          <w:tcPr>
            <w:tcW w:w="1133" w:type="dxa"/>
            <w:vAlign w:val="center"/>
          </w:tcPr>
          <w:p w14:paraId="0854AA2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25-09-24</w:t>
            </w:r>
          </w:p>
        </w:tc>
        <w:tc>
          <w:tcPr>
            <w:tcW w:w="1276" w:type="dxa"/>
            <w:vAlign w:val="center"/>
          </w:tcPr>
          <w:p w14:paraId="3310F52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25-09-24</w:t>
            </w:r>
          </w:p>
        </w:tc>
        <w:tc>
          <w:tcPr>
            <w:tcW w:w="1276" w:type="dxa"/>
            <w:vAlign w:val="center"/>
          </w:tcPr>
          <w:p w14:paraId="2C9AE37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25-09-24</w:t>
            </w:r>
          </w:p>
        </w:tc>
        <w:tc>
          <w:tcPr>
            <w:tcW w:w="992" w:type="dxa"/>
            <w:vAlign w:val="center"/>
          </w:tcPr>
          <w:p w14:paraId="4D1437F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25-sep-24</w:t>
            </w:r>
          </w:p>
        </w:tc>
        <w:tc>
          <w:tcPr>
            <w:tcW w:w="1276" w:type="dxa"/>
            <w:vAlign w:val="center"/>
          </w:tcPr>
          <w:p w14:paraId="1BB32D36" w14:textId="77777777" w:rsidR="001D5002" w:rsidRDefault="00B870AB">
            <w:pPr>
              <w:jc w:val="center"/>
              <w:rPr>
                <w:rFonts w:ascii="Arial" w:eastAsia="Arial" w:hAnsi="Arial" w:cs="Arial"/>
                <w:sz w:val="20"/>
                <w:szCs w:val="20"/>
              </w:rPr>
            </w:pPr>
            <w:r>
              <w:rPr>
                <w:rFonts w:ascii="Arial" w:eastAsia="Arial" w:hAnsi="Arial" w:cs="Arial"/>
                <w:sz w:val="20"/>
                <w:szCs w:val="20"/>
              </w:rPr>
              <w:t>844/2024</w:t>
            </w:r>
          </w:p>
        </w:tc>
      </w:tr>
      <w:tr w:rsidR="001D5002" w14:paraId="660060E7" w14:textId="77777777">
        <w:trPr>
          <w:trHeight w:val="70"/>
        </w:trPr>
        <w:tc>
          <w:tcPr>
            <w:tcW w:w="3261" w:type="dxa"/>
            <w:vAlign w:val="center"/>
          </w:tcPr>
          <w:p w14:paraId="24CF6590"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y adicionan los artículos 13, 16, 21, 32, 55, 73, 76, 78, 82, 89, 123 y 129 de la Constitución Política de los Estados Unidos Mexicanos, en materia de Guardia Nacional</w:t>
            </w:r>
            <w:r>
              <w:rPr>
                <w:rFonts w:ascii="Arial" w:eastAsia="Arial" w:hAnsi="Arial" w:cs="Arial"/>
                <w:color w:val="000000"/>
                <w:sz w:val="20"/>
                <w:szCs w:val="20"/>
              </w:rPr>
              <w:t>, remitida por la Cámara de Senadores del Honorable Congreso de la Unión.</w:t>
            </w:r>
          </w:p>
        </w:tc>
        <w:tc>
          <w:tcPr>
            <w:tcW w:w="1276" w:type="dxa"/>
            <w:vAlign w:val="center"/>
          </w:tcPr>
          <w:p w14:paraId="437806B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25-sep-24</w:t>
            </w:r>
          </w:p>
        </w:tc>
        <w:tc>
          <w:tcPr>
            <w:tcW w:w="1133" w:type="dxa"/>
            <w:vAlign w:val="center"/>
          </w:tcPr>
          <w:p w14:paraId="6EA6D6F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25-sep-24</w:t>
            </w:r>
          </w:p>
        </w:tc>
        <w:tc>
          <w:tcPr>
            <w:tcW w:w="1276" w:type="dxa"/>
            <w:vAlign w:val="center"/>
          </w:tcPr>
          <w:p w14:paraId="1192F52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25-Sep-24                        </w:t>
            </w:r>
          </w:p>
        </w:tc>
        <w:tc>
          <w:tcPr>
            <w:tcW w:w="1276" w:type="dxa"/>
            <w:vAlign w:val="center"/>
          </w:tcPr>
          <w:p w14:paraId="4DD32D56"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25-sep-24</w:t>
            </w:r>
          </w:p>
        </w:tc>
        <w:tc>
          <w:tcPr>
            <w:tcW w:w="992" w:type="dxa"/>
            <w:vAlign w:val="center"/>
          </w:tcPr>
          <w:p w14:paraId="397F0C1E"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25-sep-24</w:t>
            </w:r>
          </w:p>
        </w:tc>
        <w:tc>
          <w:tcPr>
            <w:tcW w:w="1276" w:type="dxa"/>
            <w:vAlign w:val="center"/>
          </w:tcPr>
          <w:p w14:paraId="5A00A680" w14:textId="77777777" w:rsidR="001D5002" w:rsidRDefault="00B870AB">
            <w:pPr>
              <w:jc w:val="center"/>
              <w:rPr>
                <w:rFonts w:ascii="Arial" w:eastAsia="Arial" w:hAnsi="Arial" w:cs="Arial"/>
                <w:sz w:val="20"/>
                <w:szCs w:val="20"/>
              </w:rPr>
            </w:pPr>
            <w:r>
              <w:rPr>
                <w:rFonts w:ascii="Arial" w:eastAsia="Arial" w:hAnsi="Arial" w:cs="Arial"/>
                <w:sz w:val="20"/>
                <w:szCs w:val="20"/>
              </w:rPr>
              <w:t>845/2024</w:t>
            </w:r>
          </w:p>
        </w:tc>
      </w:tr>
      <w:tr w:rsidR="001D5002" w14:paraId="55840AA2" w14:textId="77777777">
        <w:trPr>
          <w:trHeight w:val="3255"/>
        </w:trPr>
        <w:tc>
          <w:tcPr>
            <w:tcW w:w="3261" w:type="dxa"/>
            <w:vAlign w:val="center"/>
          </w:tcPr>
          <w:p w14:paraId="3792670B"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 el primer párrafo de la fracción vi del apartado a y se adiciona un tercer párrafo a la fracción iv del apartado b del artículo 123 de la Constitución Política de los Estados Unidos Mexicanos, en materia de salarios, </w:t>
            </w:r>
            <w:r>
              <w:rPr>
                <w:rFonts w:ascii="Arial" w:eastAsia="Arial" w:hAnsi="Arial" w:cs="Arial"/>
                <w:color w:val="000000"/>
                <w:sz w:val="20"/>
                <w:szCs w:val="20"/>
              </w:rPr>
              <w:t>remitida por la Cámara de Senadores del Honorable Congreso de la Unión.</w:t>
            </w:r>
          </w:p>
        </w:tc>
        <w:tc>
          <w:tcPr>
            <w:tcW w:w="1276" w:type="dxa"/>
            <w:vAlign w:val="center"/>
          </w:tcPr>
          <w:p w14:paraId="0687E4C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09-oct-24</w:t>
            </w:r>
          </w:p>
        </w:tc>
        <w:tc>
          <w:tcPr>
            <w:tcW w:w="1133" w:type="dxa"/>
            <w:vAlign w:val="center"/>
          </w:tcPr>
          <w:p w14:paraId="26600FE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11-oct-24</w:t>
            </w:r>
          </w:p>
        </w:tc>
        <w:tc>
          <w:tcPr>
            <w:tcW w:w="1276" w:type="dxa"/>
            <w:vAlign w:val="center"/>
          </w:tcPr>
          <w:p w14:paraId="4E4E6BC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11-Oct-24                         </w:t>
            </w:r>
          </w:p>
        </w:tc>
        <w:tc>
          <w:tcPr>
            <w:tcW w:w="1276" w:type="dxa"/>
            <w:vAlign w:val="center"/>
          </w:tcPr>
          <w:p w14:paraId="3188A15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11-oct-24</w:t>
            </w:r>
          </w:p>
        </w:tc>
        <w:tc>
          <w:tcPr>
            <w:tcW w:w="992" w:type="dxa"/>
            <w:vAlign w:val="center"/>
          </w:tcPr>
          <w:p w14:paraId="61A2FC8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11-oct-24</w:t>
            </w:r>
          </w:p>
        </w:tc>
        <w:tc>
          <w:tcPr>
            <w:tcW w:w="1276" w:type="dxa"/>
            <w:vAlign w:val="center"/>
          </w:tcPr>
          <w:p w14:paraId="44BE59B3" w14:textId="77777777" w:rsidR="001D5002" w:rsidRDefault="00B870AB">
            <w:pPr>
              <w:jc w:val="center"/>
              <w:rPr>
                <w:rFonts w:ascii="Arial" w:eastAsia="Arial" w:hAnsi="Arial" w:cs="Arial"/>
                <w:sz w:val="20"/>
                <w:szCs w:val="20"/>
              </w:rPr>
            </w:pPr>
            <w:r>
              <w:rPr>
                <w:rFonts w:ascii="Arial" w:eastAsia="Arial" w:hAnsi="Arial" w:cs="Arial"/>
                <w:sz w:val="20"/>
                <w:szCs w:val="20"/>
              </w:rPr>
              <w:t>03/2024</w:t>
            </w:r>
          </w:p>
        </w:tc>
      </w:tr>
      <w:tr w:rsidR="001D5002" w14:paraId="42464763" w14:textId="77777777">
        <w:trPr>
          <w:trHeight w:val="3245"/>
        </w:trPr>
        <w:tc>
          <w:tcPr>
            <w:tcW w:w="3261" w:type="dxa"/>
            <w:vAlign w:val="center"/>
          </w:tcPr>
          <w:p w14:paraId="4598C430"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 el párrafo cuarto y se adiciona un párrafo quinto, al artículo 28 de la Constitución Política de los Estados Unidos Mexicanos, en materia de vías de transporte ferroviario</w:t>
            </w:r>
            <w:r>
              <w:rPr>
                <w:rFonts w:ascii="Arial" w:eastAsia="Arial" w:hAnsi="Arial" w:cs="Arial"/>
                <w:color w:val="000000"/>
                <w:sz w:val="20"/>
                <w:szCs w:val="20"/>
              </w:rPr>
              <w:t>, remitida por la Cámara de Senadores del Honorable Congreso de la Unión</w:t>
            </w:r>
          </w:p>
        </w:tc>
        <w:tc>
          <w:tcPr>
            <w:tcW w:w="1276" w:type="dxa"/>
            <w:vAlign w:val="center"/>
          </w:tcPr>
          <w:p w14:paraId="10AB4F6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16-oct-24</w:t>
            </w:r>
          </w:p>
        </w:tc>
        <w:tc>
          <w:tcPr>
            <w:tcW w:w="1133" w:type="dxa"/>
            <w:vAlign w:val="center"/>
          </w:tcPr>
          <w:p w14:paraId="17115CA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1276" w:type="dxa"/>
            <w:vAlign w:val="center"/>
          </w:tcPr>
          <w:p w14:paraId="101C951E"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18-Oct-24                                  </w:t>
            </w:r>
          </w:p>
        </w:tc>
        <w:tc>
          <w:tcPr>
            <w:tcW w:w="1276" w:type="dxa"/>
            <w:vAlign w:val="center"/>
          </w:tcPr>
          <w:p w14:paraId="33914B9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992" w:type="dxa"/>
            <w:vAlign w:val="center"/>
          </w:tcPr>
          <w:p w14:paraId="680D68F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1276" w:type="dxa"/>
            <w:vAlign w:val="center"/>
          </w:tcPr>
          <w:p w14:paraId="6581DE9E" w14:textId="77777777" w:rsidR="001D5002" w:rsidRDefault="00B870AB">
            <w:pPr>
              <w:jc w:val="center"/>
              <w:rPr>
                <w:rFonts w:ascii="Arial" w:eastAsia="Arial" w:hAnsi="Arial" w:cs="Arial"/>
                <w:sz w:val="20"/>
                <w:szCs w:val="20"/>
              </w:rPr>
            </w:pPr>
            <w:r>
              <w:rPr>
                <w:rFonts w:ascii="Arial" w:eastAsia="Arial" w:hAnsi="Arial" w:cs="Arial"/>
                <w:sz w:val="20"/>
                <w:szCs w:val="20"/>
              </w:rPr>
              <w:t>05/2024</w:t>
            </w:r>
          </w:p>
        </w:tc>
      </w:tr>
      <w:tr w:rsidR="001D5002" w14:paraId="2CD3CEC0" w14:textId="77777777">
        <w:trPr>
          <w:trHeight w:val="3809"/>
        </w:trPr>
        <w:tc>
          <w:tcPr>
            <w:tcW w:w="3261" w:type="dxa"/>
            <w:vAlign w:val="center"/>
          </w:tcPr>
          <w:p w14:paraId="1D2D81B3"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el párrafo quinto del artículo 25, los párrafos sexto y séptimo del artículo 27 y el párrafo cuarto del artículo 28 de la Constitución Política de los Estados Unidos Mexicanos,</w:t>
            </w:r>
            <w:r>
              <w:rPr>
                <w:rFonts w:ascii="Arial" w:eastAsia="Arial" w:hAnsi="Arial" w:cs="Arial"/>
                <w:color w:val="000000"/>
                <w:sz w:val="20"/>
                <w:szCs w:val="20"/>
              </w:rPr>
              <w:t xml:space="preserve"> </w:t>
            </w:r>
            <w:r>
              <w:rPr>
                <w:rFonts w:ascii="Arial" w:eastAsia="Arial" w:hAnsi="Arial" w:cs="Arial"/>
                <w:b/>
                <w:bCs/>
                <w:color w:val="000000"/>
                <w:sz w:val="20"/>
                <w:szCs w:val="20"/>
              </w:rPr>
              <w:t>en materia de áreas y empresas estratégicas</w:t>
            </w:r>
            <w:r>
              <w:rPr>
                <w:rFonts w:ascii="Arial" w:eastAsia="Arial" w:hAnsi="Arial" w:cs="Arial"/>
                <w:color w:val="000000"/>
                <w:sz w:val="20"/>
                <w:szCs w:val="20"/>
              </w:rPr>
              <w:t>, remitida por la Cámara de Senadores del Honorable Congreso de la Unión.</w:t>
            </w:r>
          </w:p>
        </w:tc>
        <w:tc>
          <w:tcPr>
            <w:tcW w:w="1276" w:type="dxa"/>
            <w:vAlign w:val="center"/>
          </w:tcPr>
          <w:p w14:paraId="75D5769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16-oct-24</w:t>
            </w:r>
          </w:p>
        </w:tc>
        <w:tc>
          <w:tcPr>
            <w:tcW w:w="1133" w:type="dxa"/>
            <w:vAlign w:val="center"/>
          </w:tcPr>
          <w:p w14:paraId="19341C8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1276" w:type="dxa"/>
            <w:vAlign w:val="center"/>
          </w:tcPr>
          <w:p w14:paraId="7F38645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18-Oct-24                                  </w:t>
            </w:r>
          </w:p>
        </w:tc>
        <w:tc>
          <w:tcPr>
            <w:tcW w:w="1276" w:type="dxa"/>
            <w:vAlign w:val="center"/>
          </w:tcPr>
          <w:p w14:paraId="316EB8B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992" w:type="dxa"/>
            <w:vAlign w:val="center"/>
          </w:tcPr>
          <w:p w14:paraId="7FB062F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18-oct-24</w:t>
            </w:r>
          </w:p>
        </w:tc>
        <w:tc>
          <w:tcPr>
            <w:tcW w:w="1276" w:type="dxa"/>
            <w:vAlign w:val="center"/>
          </w:tcPr>
          <w:p w14:paraId="2CD2C4C7" w14:textId="77777777" w:rsidR="001D5002" w:rsidRDefault="00B870AB">
            <w:pPr>
              <w:jc w:val="center"/>
              <w:rPr>
                <w:rFonts w:ascii="Arial" w:eastAsia="Arial" w:hAnsi="Arial" w:cs="Arial"/>
                <w:sz w:val="20"/>
                <w:szCs w:val="20"/>
              </w:rPr>
            </w:pPr>
            <w:r>
              <w:rPr>
                <w:rFonts w:ascii="Arial" w:eastAsia="Arial" w:hAnsi="Arial" w:cs="Arial"/>
                <w:sz w:val="20"/>
                <w:szCs w:val="20"/>
              </w:rPr>
              <w:t>06/2024</w:t>
            </w:r>
          </w:p>
        </w:tc>
      </w:tr>
      <w:tr w:rsidR="001D5002" w14:paraId="5A0928B6" w14:textId="77777777">
        <w:trPr>
          <w:trHeight w:val="3378"/>
        </w:trPr>
        <w:tc>
          <w:tcPr>
            <w:tcW w:w="3261" w:type="dxa"/>
            <w:vAlign w:val="center"/>
          </w:tcPr>
          <w:p w14:paraId="54AF6807"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 el artículo 107 y se adiciona un quinto párrafo, al artículo 105 de la Constitución Política de los Estados Unidos Mexicanos, en materia de inimpugnabilidad de las adiciones o reformas a la constitución federal, </w:t>
            </w:r>
            <w:r>
              <w:rPr>
                <w:rFonts w:ascii="Arial" w:eastAsia="Arial" w:hAnsi="Arial" w:cs="Arial"/>
                <w:color w:val="000000"/>
                <w:sz w:val="20"/>
                <w:szCs w:val="20"/>
              </w:rPr>
              <w:t>remitida por la Cámara de Diputados del Honorable Congreso de la Unión.</w:t>
            </w:r>
          </w:p>
        </w:tc>
        <w:tc>
          <w:tcPr>
            <w:tcW w:w="1276" w:type="dxa"/>
            <w:vAlign w:val="center"/>
          </w:tcPr>
          <w:p w14:paraId="6836AAE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30-oct-24</w:t>
            </w:r>
          </w:p>
        </w:tc>
        <w:tc>
          <w:tcPr>
            <w:tcW w:w="1133" w:type="dxa"/>
            <w:vAlign w:val="center"/>
          </w:tcPr>
          <w:p w14:paraId="14487D3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1276" w:type="dxa"/>
            <w:vAlign w:val="center"/>
          </w:tcPr>
          <w:p w14:paraId="3BF8CAD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31-Oct-24                                  </w:t>
            </w:r>
          </w:p>
        </w:tc>
        <w:tc>
          <w:tcPr>
            <w:tcW w:w="1276" w:type="dxa"/>
            <w:vAlign w:val="center"/>
          </w:tcPr>
          <w:p w14:paraId="528ACA30"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992" w:type="dxa"/>
            <w:vAlign w:val="center"/>
          </w:tcPr>
          <w:p w14:paraId="317B67BC"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1276" w:type="dxa"/>
            <w:vAlign w:val="center"/>
          </w:tcPr>
          <w:p w14:paraId="66475808" w14:textId="77777777" w:rsidR="001D5002" w:rsidRDefault="00B870AB">
            <w:pPr>
              <w:jc w:val="center"/>
              <w:rPr>
                <w:rFonts w:ascii="Arial" w:eastAsia="Arial" w:hAnsi="Arial" w:cs="Arial"/>
                <w:sz w:val="20"/>
                <w:szCs w:val="20"/>
              </w:rPr>
            </w:pPr>
            <w:r>
              <w:rPr>
                <w:rFonts w:ascii="Arial" w:eastAsia="Arial" w:hAnsi="Arial" w:cs="Arial"/>
                <w:sz w:val="20"/>
                <w:szCs w:val="20"/>
              </w:rPr>
              <w:t>13/2024</w:t>
            </w:r>
          </w:p>
        </w:tc>
      </w:tr>
      <w:tr w:rsidR="001D5002" w14:paraId="1F4DC781" w14:textId="77777777">
        <w:trPr>
          <w:trHeight w:val="2560"/>
        </w:trPr>
        <w:tc>
          <w:tcPr>
            <w:tcW w:w="3261" w:type="dxa"/>
            <w:vAlign w:val="center"/>
          </w:tcPr>
          <w:p w14:paraId="2C6BA6FC"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y adicionan los artículos 4 y 27 de la Constitución Política de los Estados Unidos Mexicanos, en materia de bienestar,</w:t>
            </w:r>
            <w:r>
              <w:rPr>
                <w:rFonts w:ascii="Arial" w:eastAsia="Arial" w:hAnsi="Arial" w:cs="Arial"/>
                <w:color w:val="000000"/>
                <w:sz w:val="20"/>
                <w:szCs w:val="20"/>
              </w:rPr>
              <w:t xml:space="preserve"> enviada por la Cámara de Senadores del Honorable Congreso de la Unión.</w:t>
            </w:r>
          </w:p>
        </w:tc>
        <w:tc>
          <w:tcPr>
            <w:tcW w:w="1276" w:type="dxa"/>
            <w:vAlign w:val="center"/>
          </w:tcPr>
          <w:p w14:paraId="38F1D55C"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30-oct-24</w:t>
            </w:r>
          </w:p>
        </w:tc>
        <w:tc>
          <w:tcPr>
            <w:tcW w:w="1133" w:type="dxa"/>
            <w:vAlign w:val="center"/>
          </w:tcPr>
          <w:p w14:paraId="3092ECA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1276" w:type="dxa"/>
            <w:vAlign w:val="center"/>
          </w:tcPr>
          <w:p w14:paraId="0F8DD8C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31-Oct-24                                  </w:t>
            </w:r>
          </w:p>
        </w:tc>
        <w:tc>
          <w:tcPr>
            <w:tcW w:w="1276" w:type="dxa"/>
            <w:vAlign w:val="center"/>
          </w:tcPr>
          <w:p w14:paraId="4FC110E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992" w:type="dxa"/>
            <w:vAlign w:val="center"/>
          </w:tcPr>
          <w:p w14:paraId="3CB2F90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1276" w:type="dxa"/>
            <w:vAlign w:val="center"/>
          </w:tcPr>
          <w:p w14:paraId="3908BD2A" w14:textId="77777777" w:rsidR="001D5002" w:rsidRDefault="00B870AB">
            <w:pPr>
              <w:jc w:val="center"/>
              <w:rPr>
                <w:rFonts w:ascii="Arial" w:eastAsia="Arial" w:hAnsi="Arial" w:cs="Arial"/>
                <w:sz w:val="20"/>
                <w:szCs w:val="20"/>
              </w:rPr>
            </w:pPr>
            <w:r>
              <w:rPr>
                <w:rFonts w:ascii="Arial" w:eastAsia="Arial" w:hAnsi="Arial" w:cs="Arial"/>
                <w:sz w:val="20"/>
                <w:szCs w:val="20"/>
              </w:rPr>
              <w:t>14/2024</w:t>
            </w:r>
          </w:p>
        </w:tc>
      </w:tr>
      <w:tr w:rsidR="001D5002" w14:paraId="11A07BF1" w14:textId="77777777">
        <w:trPr>
          <w:trHeight w:val="5368"/>
        </w:trPr>
        <w:tc>
          <w:tcPr>
            <w:tcW w:w="3261" w:type="dxa"/>
            <w:vAlign w:val="center"/>
          </w:tcPr>
          <w:p w14:paraId="05EB7223"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Federal con Proyecto de Decreto por el que se reforman los artículos 4°, párrafo primero; 21, párrafo noveno; 41, párrafo segundo; 73, fracción XXI, penúltimo párrafo; 116, fracción IX; 122, apartado a, fracción X, y 123, apartados a, fracción VIL y b, fracción v; y se adiciona un último párrafo al artículo 4° y un segundo párrafo a la fracción IX del artículo 116, todos de la Constitución Política de los Estados Unidos Mexicanos, en materia de igualdad sustantiva, perspectiva de género, derecho de las mujeres a una vida libre de violencia y erradicación de la brecha salarial por razones de género, </w:t>
            </w:r>
            <w:r>
              <w:rPr>
                <w:rFonts w:ascii="Arial" w:eastAsia="Arial" w:hAnsi="Arial" w:cs="Arial"/>
                <w:color w:val="000000"/>
                <w:sz w:val="20"/>
                <w:szCs w:val="20"/>
              </w:rPr>
              <w:t xml:space="preserve"> remitida por la Cámara de Senadores del Honorable Congreso de la Unión</w:t>
            </w:r>
          </w:p>
        </w:tc>
        <w:tc>
          <w:tcPr>
            <w:tcW w:w="1276" w:type="dxa"/>
            <w:vAlign w:val="center"/>
          </w:tcPr>
          <w:p w14:paraId="34866D20"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05-nov-24</w:t>
            </w:r>
          </w:p>
        </w:tc>
        <w:tc>
          <w:tcPr>
            <w:tcW w:w="1133" w:type="dxa"/>
            <w:vAlign w:val="center"/>
          </w:tcPr>
          <w:p w14:paraId="2415383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1276" w:type="dxa"/>
            <w:vAlign w:val="center"/>
          </w:tcPr>
          <w:p w14:paraId="5D1B97A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06-Nov-24                                  </w:t>
            </w:r>
          </w:p>
        </w:tc>
        <w:tc>
          <w:tcPr>
            <w:tcW w:w="1276" w:type="dxa"/>
            <w:vAlign w:val="center"/>
          </w:tcPr>
          <w:p w14:paraId="06951E6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992" w:type="dxa"/>
            <w:vAlign w:val="center"/>
          </w:tcPr>
          <w:p w14:paraId="21BB6B1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1276" w:type="dxa"/>
            <w:vAlign w:val="center"/>
          </w:tcPr>
          <w:p w14:paraId="2E085B3A" w14:textId="77777777" w:rsidR="001D5002" w:rsidRDefault="00B870AB">
            <w:pPr>
              <w:jc w:val="center"/>
              <w:rPr>
                <w:rFonts w:ascii="Arial" w:eastAsia="Arial" w:hAnsi="Arial" w:cs="Arial"/>
                <w:sz w:val="20"/>
                <w:szCs w:val="20"/>
              </w:rPr>
            </w:pPr>
            <w:r>
              <w:rPr>
                <w:rFonts w:ascii="Arial" w:eastAsia="Arial" w:hAnsi="Arial" w:cs="Arial"/>
                <w:sz w:val="20"/>
                <w:szCs w:val="20"/>
              </w:rPr>
              <w:t>15/2024</w:t>
            </w:r>
          </w:p>
        </w:tc>
      </w:tr>
      <w:tr w:rsidR="001D5002" w14:paraId="2DC218D4" w14:textId="77777777">
        <w:trPr>
          <w:trHeight w:val="3153"/>
        </w:trPr>
        <w:tc>
          <w:tcPr>
            <w:tcW w:w="3261" w:type="dxa"/>
            <w:vAlign w:val="center"/>
          </w:tcPr>
          <w:p w14:paraId="54BF850C"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 y adiciona la fracción XII (Décima Segunda) del apartado A del artículo 123 De la Constitución Política de los Estados Unidos Mexicanos, en materia de Vivienda para las personas trabajadoras,</w:t>
            </w:r>
            <w:r>
              <w:rPr>
                <w:rFonts w:ascii="Arial" w:eastAsia="Arial" w:hAnsi="Arial" w:cs="Arial"/>
                <w:color w:val="000000"/>
                <w:sz w:val="20"/>
                <w:szCs w:val="20"/>
              </w:rPr>
              <w:t xml:space="preserve"> remitida por la Cámara de Senadores del Honorable Congreso de La Unión.</w:t>
            </w:r>
          </w:p>
        </w:tc>
        <w:tc>
          <w:tcPr>
            <w:tcW w:w="1276" w:type="dxa"/>
            <w:vAlign w:val="center"/>
          </w:tcPr>
          <w:p w14:paraId="525FF58D"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31-oct-24</w:t>
            </w:r>
          </w:p>
        </w:tc>
        <w:tc>
          <w:tcPr>
            <w:tcW w:w="1133" w:type="dxa"/>
            <w:vAlign w:val="center"/>
          </w:tcPr>
          <w:p w14:paraId="465BF40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1276" w:type="dxa"/>
            <w:vAlign w:val="center"/>
          </w:tcPr>
          <w:p w14:paraId="50AE315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06-Nov-24                                  </w:t>
            </w:r>
          </w:p>
        </w:tc>
        <w:tc>
          <w:tcPr>
            <w:tcW w:w="1276" w:type="dxa"/>
            <w:vAlign w:val="center"/>
          </w:tcPr>
          <w:p w14:paraId="45A7032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992" w:type="dxa"/>
            <w:vAlign w:val="center"/>
          </w:tcPr>
          <w:p w14:paraId="33302238"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06-nov-24</w:t>
            </w:r>
          </w:p>
        </w:tc>
        <w:tc>
          <w:tcPr>
            <w:tcW w:w="1276" w:type="dxa"/>
            <w:vAlign w:val="center"/>
          </w:tcPr>
          <w:p w14:paraId="589D8347" w14:textId="77777777" w:rsidR="001D5002" w:rsidRDefault="00B870AB">
            <w:pPr>
              <w:jc w:val="center"/>
              <w:rPr>
                <w:rFonts w:ascii="Arial" w:eastAsia="Arial" w:hAnsi="Arial" w:cs="Arial"/>
                <w:sz w:val="20"/>
                <w:szCs w:val="20"/>
              </w:rPr>
            </w:pPr>
            <w:r>
              <w:rPr>
                <w:rFonts w:ascii="Arial" w:eastAsia="Arial" w:hAnsi="Arial" w:cs="Arial"/>
                <w:sz w:val="20"/>
                <w:szCs w:val="20"/>
              </w:rPr>
              <w:t>16/2024</w:t>
            </w:r>
          </w:p>
        </w:tc>
      </w:tr>
      <w:tr w:rsidR="001D5002" w14:paraId="1526B2FD" w14:textId="77777777">
        <w:trPr>
          <w:trHeight w:val="407"/>
        </w:trPr>
        <w:tc>
          <w:tcPr>
            <w:tcW w:w="3261" w:type="dxa"/>
            <w:vAlign w:val="center"/>
          </w:tcPr>
          <w:p w14:paraId="0A3F5549"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reforman los artículos 3o., 4o. y 73 de la Constitución Política de los Estados Unidos Mexicanos, en materia de protección y cuidado animales, </w:t>
            </w:r>
            <w:r>
              <w:rPr>
                <w:rFonts w:ascii="Arial" w:eastAsia="Arial" w:hAnsi="Arial" w:cs="Arial"/>
                <w:color w:val="000000"/>
                <w:sz w:val="20"/>
                <w:szCs w:val="20"/>
              </w:rPr>
              <w:t>remitida por la Cámara de Senadores del Honorable Congreso De La Unión.</w:t>
            </w:r>
          </w:p>
        </w:tc>
        <w:tc>
          <w:tcPr>
            <w:tcW w:w="1276" w:type="dxa"/>
            <w:vAlign w:val="center"/>
          </w:tcPr>
          <w:p w14:paraId="3AB783F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21-nov-24</w:t>
            </w:r>
          </w:p>
        </w:tc>
        <w:tc>
          <w:tcPr>
            <w:tcW w:w="1133" w:type="dxa"/>
            <w:vAlign w:val="center"/>
          </w:tcPr>
          <w:p w14:paraId="2D4DBE1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1276" w:type="dxa"/>
            <w:vAlign w:val="center"/>
          </w:tcPr>
          <w:p w14:paraId="1A83719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27-Nov-24                                                 </w:t>
            </w:r>
          </w:p>
        </w:tc>
        <w:tc>
          <w:tcPr>
            <w:tcW w:w="1276" w:type="dxa"/>
            <w:vAlign w:val="center"/>
          </w:tcPr>
          <w:p w14:paraId="3FAAA9BE"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992" w:type="dxa"/>
            <w:vAlign w:val="center"/>
          </w:tcPr>
          <w:p w14:paraId="113EB4B8"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1276" w:type="dxa"/>
            <w:vAlign w:val="center"/>
          </w:tcPr>
          <w:p w14:paraId="2DA7B064" w14:textId="77777777" w:rsidR="001D5002" w:rsidRDefault="00B870AB">
            <w:pPr>
              <w:jc w:val="center"/>
              <w:rPr>
                <w:rFonts w:ascii="Arial" w:eastAsia="Arial" w:hAnsi="Arial" w:cs="Arial"/>
                <w:sz w:val="20"/>
                <w:szCs w:val="20"/>
              </w:rPr>
            </w:pPr>
            <w:r>
              <w:rPr>
                <w:rFonts w:ascii="Arial" w:eastAsia="Arial" w:hAnsi="Arial" w:cs="Arial"/>
                <w:sz w:val="20"/>
                <w:szCs w:val="20"/>
              </w:rPr>
              <w:t>20/2024</w:t>
            </w:r>
          </w:p>
        </w:tc>
      </w:tr>
      <w:tr w:rsidR="001D5002" w14:paraId="2FAEE139" w14:textId="77777777">
        <w:trPr>
          <w:trHeight w:val="2108"/>
        </w:trPr>
        <w:tc>
          <w:tcPr>
            <w:tcW w:w="3261" w:type="dxa"/>
            <w:vAlign w:val="center"/>
          </w:tcPr>
          <w:p w14:paraId="08AD5267"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 el Párrafo Segundo del Artículo 19 de la Constitución Política de los Estados Unidos Mexicanos, en materia de prisión preventiva oficiosa,</w:t>
            </w:r>
            <w:r>
              <w:rPr>
                <w:rFonts w:ascii="Arial" w:eastAsia="Arial" w:hAnsi="Arial" w:cs="Arial"/>
                <w:color w:val="000000"/>
                <w:sz w:val="20"/>
                <w:szCs w:val="20"/>
              </w:rPr>
              <w:t xml:space="preserve"> remitida por la Cámara De Senadores del Honorable Congreso de la Unión.</w:t>
            </w:r>
          </w:p>
        </w:tc>
        <w:tc>
          <w:tcPr>
            <w:tcW w:w="1276" w:type="dxa"/>
            <w:vAlign w:val="center"/>
          </w:tcPr>
          <w:p w14:paraId="7C3EFF9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1133" w:type="dxa"/>
            <w:vAlign w:val="center"/>
          </w:tcPr>
          <w:p w14:paraId="17E17E8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1276" w:type="dxa"/>
            <w:vAlign w:val="center"/>
          </w:tcPr>
          <w:p w14:paraId="40C00657"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02-Dic-24                           </w:t>
            </w:r>
          </w:p>
        </w:tc>
        <w:tc>
          <w:tcPr>
            <w:tcW w:w="1276" w:type="dxa"/>
            <w:vAlign w:val="center"/>
          </w:tcPr>
          <w:p w14:paraId="21C016C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992" w:type="dxa"/>
            <w:vAlign w:val="center"/>
          </w:tcPr>
          <w:p w14:paraId="61362AE7"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1276" w:type="dxa"/>
            <w:vAlign w:val="center"/>
          </w:tcPr>
          <w:p w14:paraId="7618C79E" w14:textId="77777777" w:rsidR="001D5002" w:rsidRDefault="00B870AB">
            <w:pPr>
              <w:jc w:val="center"/>
              <w:rPr>
                <w:rFonts w:ascii="Arial" w:eastAsia="Arial" w:hAnsi="Arial" w:cs="Arial"/>
                <w:sz w:val="20"/>
                <w:szCs w:val="20"/>
              </w:rPr>
            </w:pPr>
            <w:r>
              <w:rPr>
                <w:rFonts w:ascii="Arial" w:eastAsia="Arial" w:hAnsi="Arial" w:cs="Arial"/>
                <w:sz w:val="20"/>
                <w:szCs w:val="20"/>
              </w:rPr>
              <w:t>23/2024</w:t>
            </w:r>
          </w:p>
        </w:tc>
      </w:tr>
      <w:tr w:rsidR="001D5002" w14:paraId="3A38A947" w14:textId="77777777">
        <w:trPr>
          <w:trHeight w:val="1824"/>
        </w:trPr>
        <w:tc>
          <w:tcPr>
            <w:tcW w:w="3261" w:type="dxa"/>
            <w:vAlign w:val="center"/>
          </w:tcPr>
          <w:p w14:paraId="6303260A"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reforman, adicionan y derogan diversas disposiciones de la Constitución Política de los Estados Unidos Mexicanos, en materia de simplificación orgánica, </w:t>
            </w:r>
            <w:r>
              <w:rPr>
                <w:rFonts w:ascii="Arial" w:eastAsia="Arial" w:hAnsi="Arial" w:cs="Arial"/>
                <w:color w:val="000000"/>
                <w:sz w:val="20"/>
                <w:szCs w:val="20"/>
              </w:rPr>
              <w:t>remitida por la Cámara De Senadores Del Honorable Congreso de la Unión</w:t>
            </w:r>
          </w:p>
        </w:tc>
        <w:tc>
          <w:tcPr>
            <w:tcW w:w="1276" w:type="dxa"/>
            <w:vAlign w:val="center"/>
          </w:tcPr>
          <w:p w14:paraId="0AD741C6"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28-nov-24</w:t>
            </w:r>
          </w:p>
        </w:tc>
        <w:tc>
          <w:tcPr>
            <w:tcW w:w="1133" w:type="dxa"/>
            <w:vAlign w:val="center"/>
          </w:tcPr>
          <w:p w14:paraId="7F03113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1276" w:type="dxa"/>
            <w:vAlign w:val="center"/>
          </w:tcPr>
          <w:p w14:paraId="33B90F80"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02-Dic-24                                                 </w:t>
            </w:r>
          </w:p>
        </w:tc>
        <w:tc>
          <w:tcPr>
            <w:tcW w:w="1276" w:type="dxa"/>
            <w:vAlign w:val="center"/>
          </w:tcPr>
          <w:p w14:paraId="5D94802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992" w:type="dxa"/>
            <w:vAlign w:val="center"/>
          </w:tcPr>
          <w:p w14:paraId="2504820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02-dic-24</w:t>
            </w:r>
          </w:p>
        </w:tc>
        <w:tc>
          <w:tcPr>
            <w:tcW w:w="1276" w:type="dxa"/>
            <w:vAlign w:val="center"/>
          </w:tcPr>
          <w:p w14:paraId="38FC1830" w14:textId="77777777" w:rsidR="001D5002" w:rsidRDefault="00B870AB">
            <w:pPr>
              <w:jc w:val="center"/>
              <w:rPr>
                <w:rFonts w:ascii="Arial" w:eastAsia="Arial" w:hAnsi="Arial" w:cs="Arial"/>
                <w:sz w:val="20"/>
                <w:szCs w:val="20"/>
              </w:rPr>
            </w:pPr>
            <w:r>
              <w:rPr>
                <w:rFonts w:ascii="Arial" w:eastAsia="Arial" w:hAnsi="Arial" w:cs="Arial"/>
                <w:sz w:val="20"/>
                <w:szCs w:val="20"/>
              </w:rPr>
              <w:t>24/2024</w:t>
            </w:r>
          </w:p>
        </w:tc>
      </w:tr>
      <w:tr w:rsidR="001D5002" w14:paraId="6745003A" w14:textId="77777777">
        <w:trPr>
          <w:trHeight w:val="2108"/>
        </w:trPr>
        <w:tc>
          <w:tcPr>
            <w:tcW w:w="3261" w:type="dxa"/>
            <w:vAlign w:val="center"/>
          </w:tcPr>
          <w:p w14:paraId="2AC2D958"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 y adiciona el artículo 21 de la Constitución Política de los Estados Unidos Mexicanos, en Materia de Seguridad Pública, </w:t>
            </w:r>
            <w:r>
              <w:rPr>
                <w:rFonts w:ascii="Arial" w:eastAsia="Arial" w:hAnsi="Arial" w:cs="Arial"/>
                <w:color w:val="000000"/>
                <w:sz w:val="20"/>
                <w:szCs w:val="20"/>
              </w:rPr>
              <w:t>remitida por</w:t>
            </w:r>
            <w:r>
              <w:rPr>
                <w:rFonts w:ascii="Arial" w:eastAsia="Arial" w:hAnsi="Arial" w:cs="Arial"/>
                <w:b/>
                <w:bCs/>
                <w:color w:val="000000"/>
                <w:sz w:val="20"/>
                <w:szCs w:val="20"/>
              </w:rPr>
              <w:t xml:space="preserve"> </w:t>
            </w:r>
            <w:r>
              <w:rPr>
                <w:rFonts w:ascii="Arial" w:eastAsia="Arial" w:hAnsi="Arial" w:cs="Arial"/>
                <w:color w:val="000000"/>
                <w:sz w:val="20"/>
                <w:szCs w:val="20"/>
              </w:rPr>
              <w:t>la Cámara de Diputados del Honorable Congreso de la Unión.</w:t>
            </w:r>
          </w:p>
        </w:tc>
        <w:tc>
          <w:tcPr>
            <w:tcW w:w="1276" w:type="dxa"/>
            <w:vAlign w:val="center"/>
          </w:tcPr>
          <w:p w14:paraId="1018C290"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11-nov-24</w:t>
            </w:r>
          </w:p>
        </w:tc>
        <w:tc>
          <w:tcPr>
            <w:tcW w:w="1133" w:type="dxa"/>
            <w:vAlign w:val="center"/>
          </w:tcPr>
          <w:p w14:paraId="20ECCDA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1276" w:type="dxa"/>
            <w:vAlign w:val="center"/>
          </w:tcPr>
          <w:p w14:paraId="37995F9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27-Nov-24                           </w:t>
            </w:r>
          </w:p>
        </w:tc>
        <w:tc>
          <w:tcPr>
            <w:tcW w:w="1276" w:type="dxa"/>
            <w:vAlign w:val="center"/>
          </w:tcPr>
          <w:p w14:paraId="11F6313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992" w:type="dxa"/>
            <w:vAlign w:val="center"/>
          </w:tcPr>
          <w:p w14:paraId="2CCA5496"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27-nov-24</w:t>
            </w:r>
          </w:p>
        </w:tc>
        <w:tc>
          <w:tcPr>
            <w:tcW w:w="1276" w:type="dxa"/>
            <w:vAlign w:val="center"/>
          </w:tcPr>
          <w:p w14:paraId="691BB6E9" w14:textId="77777777" w:rsidR="001D5002" w:rsidRDefault="00B870AB">
            <w:pPr>
              <w:jc w:val="center"/>
              <w:rPr>
                <w:rFonts w:ascii="Arial" w:eastAsia="Arial" w:hAnsi="Arial" w:cs="Arial"/>
                <w:sz w:val="20"/>
                <w:szCs w:val="20"/>
              </w:rPr>
            </w:pPr>
            <w:r>
              <w:rPr>
                <w:rFonts w:ascii="Arial" w:eastAsia="Arial" w:hAnsi="Arial" w:cs="Arial"/>
                <w:sz w:val="20"/>
                <w:szCs w:val="20"/>
              </w:rPr>
              <w:t>21/2024</w:t>
            </w:r>
          </w:p>
        </w:tc>
      </w:tr>
      <w:tr w:rsidR="001D5002" w14:paraId="08A23226" w14:textId="77777777">
        <w:trPr>
          <w:trHeight w:val="1967"/>
        </w:trPr>
        <w:tc>
          <w:tcPr>
            <w:tcW w:w="3261" w:type="dxa"/>
            <w:vAlign w:val="center"/>
          </w:tcPr>
          <w:p w14:paraId="5D26AD60"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adicionan un párrafo quinto al Artículo 4o. y un Párrafo Segundo al Artículo 5o., de la Constitución Política de los Estados Unidos Mexicanos, en materia de Protección a la Salud, </w:t>
            </w:r>
            <w:r>
              <w:rPr>
                <w:rFonts w:ascii="Arial" w:eastAsia="Arial" w:hAnsi="Arial" w:cs="Arial"/>
                <w:color w:val="000000"/>
                <w:sz w:val="20"/>
                <w:szCs w:val="20"/>
              </w:rPr>
              <w:t>remitida por la Cámara De Senadores Del Honorable Congreso de la Unión.</w:t>
            </w:r>
          </w:p>
        </w:tc>
        <w:tc>
          <w:tcPr>
            <w:tcW w:w="1276" w:type="dxa"/>
            <w:vAlign w:val="center"/>
          </w:tcPr>
          <w:p w14:paraId="2FD622D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11-dic-24</w:t>
            </w:r>
          </w:p>
        </w:tc>
        <w:tc>
          <w:tcPr>
            <w:tcW w:w="1133" w:type="dxa"/>
            <w:vAlign w:val="center"/>
          </w:tcPr>
          <w:p w14:paraId="4502E88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13-dic-24</w:t>
            </w:r>
          </w:p>
        </w:tc>
        <w:tc>
          <w:tcPr>
            <w:tcW w:w="1276" w:type="dxa"/>
            <w:vAlign w:val="center"/>
          </w:tcPr>
          <w:p w14:paraId="1B9F176D"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13-Dic-24                            </w:t>
            </w:r>
          </w:p>
        </w:tc>
        <w:tc>
          <w:tcPr>
            <w:tcW w:w="1276" w:type="dxa"/>
            <w:vAlign w:val="center"/>
          </w:tcPr>
          <w:p w14:paraId="415273A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13-dic-24</w:t>
            </w:r>
          </w:p>
        </w:tc>
        <w:tc>
          <w:tcPr>
            <w:tcW w:w="992" w:type="dxa"/>
            <w:vAlign w:val="center"/>
          </w:tcPr>
          <w:p w14:paraId="132BE3AD"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13-dic-24</w:t>
            </w:r>
          </w:p>
        </w:tc>
        <w:tc>
          <w:tcPr>
            <w:tcW w:w="1276" w:type="dxa"/>
            <w:vAlign w:val="center"/>
          </w:tcPr>
          <w:p w14:paraId="15CA300D" w14:textId="77777777" w:rsidR="001D5002" w:rsidRDefault="00B870AB">
            <w:pPr>
              <w:jc w:val="center"/>
              <w:rPr>
                <w:rFonts w:ascii="Arial" w:eastAsia="Arial" w:hAnsi="Arial" w:cs="Arial"/>
                <w:sz w:val="20"/>
                <w:szCs w:val="20"/>
              </w:rPr>
            </w:pPr>
            <w:r>
              <w:rPr>
                <w:rFonts w:ascii="Arial" w:eastAsia="Arial" w:hAnsi="Arial" w:cs="Arial"/>
                <w:sz w:val="20"/>
                <w:szCs w:val="20"/>
              </w:rPr>
              <w:t>26/2024</w:t>
            </w:r>
          </w:p>
        </w:tc>
      </w:tr>
      <w:tr w:rsidR="001D5002" w14:paraId="774FC356" w14:textId="77777777">
        <w:trPr>
          <w:trHeight w:val="1826"/>
        </w:trPr>
        <w:tc>
          <w:tcPr>
            <w:tcW w:w="3261" w:type="dxa"/>
            <w:vAlign w:val="center"/>
          </w:tcPr>
          <w:p w14:paraId="516AA3F6"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Minuta con proyecto de decreto, por el que se reforman y adicionan los artículos 55, 59, 82, 115, 116 y 122 de la Constitución Política de los Estados Unidos Mexicanos, en materia de no reelección y nepotismo electoral, </w:t>
            </w:r>
            <w:r>
              <w:rPr>
                <w:rFonts w:ascii="Arial" w:eastAsia="Arial" w:hAnsi="Arial" w:cs="Arial"/>
                <w:color w:val="000000"/>
                <w:sz w:val="20"/>
                <w:szCs w:val="20"/>
              </w:rPr>
              <w:t>remitida por la Cámara de Diputados del Honorable Congreso de la Unión.</w:t>
            </w:r>
          </w:p>
        </w:tc>
        <w:tc>
          <w:tcPr>
            <w:tcW w:w="1276" w:type="dxa"/>
            <w:vAlign w:val="center"/>
          </w:tcPr>
          <w:p w14:paraId="0320EB2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06-mar-25</w:t>
            </w:r>
          </w:p>
        </w:tc>
        <w:tc>
          <w:tcPr>
            <w:tcW w:w="1133" w:type="dxa"/>
            <w:vAlign w:val="center"/>
          </w:tcPr>
          <w:p w14:paraId="20E95E3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08-mar-25</w:t>
            </w:r>
          </w:p>
        </w:tc>
        <w:tc>
          <w:tcPr>
            <w:tcW w:w="1276" w:type="dxa"/>
            <w:vAlign w:val="center"/>
          </w:tcPr>
          <w:p w14:paraId="33D0BFF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10-Mar-25                          </w:t>
            </w:r>
          </w:p>
        </w:tc>
        <w:tc>
          <w:tcPr>
            <w:tcW w:w="1276" w:type="dxa"/>
            <w:vAlign w:val="center"/>
          </w:tcPr>
          <w:p w14:paraId="6A61895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10-mar-25</w:t>
            </w:r>
          </w:p>
        </w:tc>
        <w:tc>
          <w:tcPr>
            <w:tcW w:w="992" w:type="dxa"/>
            <w:vAlign w:val="center"/>
          </w:tcPr>
          <w:p w14:paraId="3ADE152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1276" w:type="dxa"/>
            <w:vAlign w:val="center"/>
          </w:tcPr>
          <w:p w14:paraId="74DDAD56" w14:textId="77777777" w:rsidR="001D5002" w:rsidRDefault="00B870AB">
            <w:pPr>
              <w:jc w:val="center"/>
              <w:rPr>
                <w:rFonts w:ascii="Arial" w:eastAsia="Arial" w:hAnsi="Arial" w:cs="Arial"/>
                <w:sz w:val="20"/>
                <w:szCs w:val="20"/>
              </w:rPr>
            </w:pPr>
            <w:r>
              <w:rPr>
                <w:rFonts w:ascii="Arial" w:eastAsia="Arial" w:hAnsi="Arial" w:cs="Arial"/>
                <w:sz w:val="20"/>
                <w:szCs w:val="20"/>
              </w:rPr>
              <w:t>58/2025</w:t>
            </w:r>
          </w:p>
        </w:tc>
      </w:tr>
      <w:tr w:rsidR="001D5002" w14:paraId="175C5A79" w14:textId="77777777">
        <w:trPr>
          <w:trHeight w:val="2121"/>
        </w:trPr>
        <w:tc>
          <w:tcPr>
            <w:tcW w:w="3261" w:type="dxa"/>
            <w:vAlign w:val="center"/>
          </w:tcPr>
          <w:p w14:paraId="4A05A743"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y adicionan diversas disposiciones de los artículos 4o. Y 27 de la Constitución Política de los Estados Unidos Mexicanos, en materia de conservación y protección de los maíces nativos.</w:t>
            </w:r>
            <w:r>
              <w:rPr>
                <w:rFonts w:ascii="Arial" w:eastAsia="Arial" w:hAnsi="Arial" w:cs="Arial"/>
                <w:color w:val="000000"/>
                <w:sz w:val="20"/>
                <w:szCs w:val="20"/>
              </w:rPr>
              <w:t xml:space="preserve"> Remitida por la Cámara de Senadores del Honorable Congreso de la Unión.</w:t>
            </w:r>
          </w:p>
        </w:tc>
        <w:tc>
          <w:tcPr>
            <w:tcW w:w="1276" w:type="dxa"/>
            <w:vAlign w:val="center"/>
          </w:tcPr>
          <w:p w14:paraId="55EE9A4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06-mar-25</w:t>
            </w:r>
          </w:p>
        </w:tc>
        <w:tc>
          <w:tcPr>
            <w:tcW w:w="1133" w:type="dxa"/>
            <w:vAlign w:val="center"/>
          </w:tcPr>
          <w:p w14:paraId="3DA1163E"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08-mar-25</w:t>
            </w:r>
          </w:p>
        </w:tc>
        <w:tc>
          <w:tcPr>
            <w:tcW w:w="1276" w:type="dxa"/>
            <w:vAlign w:val="center"/>
          </w:tcPr>
          <w:p w14:paraId="67DF25C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10-Mar-25                          </w:t>
            </w:r>
          </w:p>
        </w:tc>
        <w:tc>
          <w:tcPr>
            <w:tcW w:w="1276" w:type="dxa"/>
            <w:vAlign w:val="center"/>
          </w:tcPr>
          <w:p w14:paraId="76BA558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10-mar-25</w:t>
            </w:r>
          </w:p>
        </w:tc>
        <w:tc>
          <w:tcPr>
            <w:tcW w:w="992" w:type="dxa"/>
            <w:vAlign w:val="center"/>
          </w:tcPr>
          <w:p w14:paraId="656F37DD"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1276" w:type="dxa"/>
            <w:vAlign w:val="center"/>
          </w:tcPr>
          <w:p w14:paraId="76BEF8D1" w14:textId="77777777" w:rsidR="001D5002" w:rsidRDefault="00B870AB">
            <w:pPr>
              <w:jc w:val="center"/>
              <w:rPr>
                <w:rFonts w:ascii="Arial" w:eastAsia="Arial" w:hAnsi="Arial" w:cs="Arial"/>
                <w:sz w:val="20"/>
                <w:szCs w:val="20"/>
              </w:rPr>
            </w:pPr>
            <w:r>
              <w:rPr>
                <w:rFonts w:ascii="Arial" w:eastAsia="Arial" w:hAnsi="Arial" w:cs="Arial"/>
                <w:sz w:val="20"/>
                <w:szCs w:val="20"/>
              </w:rPr>
              <w:t>57/2025</w:t>
            </w:r>
          </w:p>
        </w:tc>
      </w:tr>
      <w:tr w:rsidR="001D5002" w14:paraId="1DBC832C" w14:textId="77777777">
        <w:trPr>
          <w:trHeight w:val="70"/>
        </w:trPr>
        <w:tc>
          <w:tcPr>
            <w:tcW w:w="3261" w:type="dxa"/>
            <w:vAlign w:val="center"/>
          </w:tcPr>
          <w:p w14:paraId="4D0780D7"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adiciona un segundo párrafo al artículo 123 de la Constitución Política de los Estados Unidos Mexicanos</w:t>
            </w:r>
            <w:r>
              <w:rPr>
                <w:rFonts w:ascii="Arial" w:eastAsia="Arial" w:hAnsi="Arial" w:cs="Arial"/>
                <w:color w:val="000000"/>
                <w:sz w:val="20"/>
                <w:szCs w:val="20"/>
              </w:rPr>
              <w:t>, en materia de apoyo a los jóvenes, remitida por la Cámara de Senadores del Honorable Congreso de la Unión.</w:t>
            </w:r>
          </w:p>
        </w:tc>
        <w:tc>
          <w:tcPr>
            <w:tcW w:w="1276" w:type="dxa"/>
            <w:vAlign w:val="center"/>
          </w:tcPr>
          <w:p w14:paraId="33E68A6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11-mar-25</w:t>
            </w:r>
          </w:p>
        </w:tc>
        <w:tc>
          <w:tcPr>
            <w:tcW w:w="1133" w:type="dxa"/>
            <w:vAlign w:val="center"/>
          </w:tcPr>
          <w:p w14:paraId="2E576FA6"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1276" w:type="dxa"/>
            <w:vAlign w:val="center"/>
          </w:tcPr>
          <w:p w14:paraId="6B6306EC"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12-Mar-25                            </w:t>
            </w:r>
          </w:p>
        </w:tc>
        <w:tc>
          <w:tcPr>
            <w:tcW w:w="1276" w:type="dxa"/>
            <w:vAlign w:val="center"/>
          </w:tcPr>
          <w:p w14:paraId="510D80D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992" w:type="dxa"/>
            <w:vAlign w:val="center"/>
          </w:tcPr>
          <w:p w14:paraId="0E14DB1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14-mar-25</w:t>
            </w:r>
          </w:p>
        </w:tc>
        <w:tc>
          <w:tcPr>
            <w:tcW w:w="1276" w:type="dxa"/>
            <w:vAlign w:val="center"/>
          </w:tcPr>
          <w:p w14:paraId="5125445D" w14:textId="77777777" w:rsidR="001D5002" w:rsidRDefault="00B870AB">
            <w:pPr>
              <w:jc w:val="center"/>
              <w:rPr>
                <w:rFonts w:ascii="Arial" w:eastAsia="Arial" w:hAnsi="Arial" w:cs="Arial"/>
                <w:sz w:val="20"/>
                <w:szCs w:val="20"/>
              </w:rPr>
            </w:pPr>
            <w:r>
              <w:rPr>
                <w:rFonts w:ascii="Arial" w:eastAsia="Arial" w:hAnsi="Arial" w:cs="Arial"/>
                <w:sz w:val="20"/>
                <w:szCs w:val="20"/>
              </w:rPr>
              <w:t>61/2025</w:t>
            </w:r>
          </w:p>
        </w:tc>
      </w:tr>
      <w:tr w:rsidR="001D5002" w14:paraId="430F3317" w14:textId="77777777">
        <w:trPr>
          <w:trHeight w:val="2132"/>
        </w:trPr>
        <w:tc>
          <w:tcPr>
            <w:tcW w:w="3261" w:type="dxa"/>
            <w:vAlign w:val="center"/>
          </w:tcPr>
          <w:p w14:paraId="6400EB3A"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 el segundo párrafo del artículo 19 y se adicionan los párrafos segundo y tercero al artículo 40 de la constitución política de los Estados Unidos Mexicanos,</w:t>
            </w:r>
            <w:r>
              <w:rPr>
                <w:rFonts w:ascii="Arial" w:eastAsia="Arial" w:hAnsi="Arial" w:cs="Arial"/>
                <w:color w:val="000000"/>
                <w:sz w:val="20"/>
                <w:szCs w:val="20"/>
              </w:rPr>
              <w:t xml:space="preserve"> en materia de fortalecimiento de la soberanía nacional, remitida por la Cámara de Diputados del Honorable Congreso de la Unión.</w:t>
            </w:r>
          </w:p>
        </w:tc>
        <w:tc>
          <w:tcPr>
            <w:tcW w:w="1276" w:type="dxa"/>
            <w:vAlign w:val="center"/>
          </w:tcPr>
          <w:p w14:paraId="124CEB69"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11-mar-25</w:t>
            </w:r>
          </w:p>
        </w:tc>
        <w:tc>
          <w:tcPr>
            <w:tcW w:w="1133" w:type="dxa"/>
            <w:vAlign w:val="center"/>
          </w:tcPr>
          <w:p w14:paraId="2BEFDEB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1276" w:type="dxa"/>
            <w:vAlign w:val="center"/>
          </w:tcPr>
          <w:p w14:paraId="2C407FA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12-Mar-25                           </w:t>
            </w:r>
          </w:p>
        </w:tc>
        <w:tc>
          <w:tcPr>
            <w:tcW w:w="1276" w:type="dxa"/>
            <w:vAlign w:val="center"/>
          </w:tcPr>
          <w:p w14:paraId="416D1935"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12-mar-25</w:t>
            </w:r>
          </w:p>
        </w:tc>
        <w:tc>
          <w:tcPr>
            <w:tcW w:w="992" w:type="dxa"/>
            <w:vAlign w:val="center"/>
          </w:tcPr>
          <w:p w14:paraId="116CD84E"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14-mar-25</w:t>
            </w:r>
          </w:p>
        </w:tc>
        <w:tc>
          <w:tcPr>
            <w:tcW w:w="1276" w:type="dxa"/>
            <w:vAlign w:val="center"/>
          </w:tcPr>
          <w:p w14:paraId="17B2D7D8" w14:textId="77777777" w:rsidR="001D5002" w:rsidRDefault="00B870AB">
            <w:pPr>
              <w:jc w:val="center"/>
              <w:rPr>
                <w:rFonts w:ascii="Arial" w:eastAsia="Arial" w:hAnsi="Arial" w:cs="Arial"/>
                <w:sz w:val="20"/>
                <w:szCs w:val="20"/>
              </w:rPr>
            </w:pPr>
            <w:r>
              <w:rPr>
                <w:rFonts w:ascii="Arial" w:eastAsia="Arial" w:hAnsi="Arial" w:cs="Arial"/>
                <w:sz w:val="20"/>
                <w:szCs w:val="20"/>
              </w:rPr>
              <w:t>60/2025</w:t>
            </w:r>
          </w:p>
        </w:tc>
      </w:tr>
      <w:tr w:rsidR="001D5002" w14:paraId="27B2243F" w14:textId="77777777">
        <w:trPr>
          <w:trHeight w:val="2247"/>
        </w:trPr>
        <w:tc>
          <w:tcPr>
            <w:tcW w:w="3261" w:type="dxa"/>
            <w:vAlign w:val="center"/>
          </w:tcPr>
          <w:p w14:paraId="3927C6FB"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Minuta con proyecto de decreto, por el que se reforman el párrafo décimo del Artículo 25 y la Fracción XXIX-Y del Artículo 73 de la Constitución Política de los Estados Unidos Mexicanos, en materia de simplificación administrativa y digitalización</w:t>
            </w:r>
            <w:r>
              <w:rPr>
                <w:rFonts w:ascii="Arial" w:eastAsia="Arial" w:hAnsi="Arial" w:cs="Arial"/>
                <w:color w:val="000000"/>
                <w:sz w:val="20"/>
                <w:szCs w:val="20"/>
              </w:rPr>
              <w:t>, remitida por la Cámara de Diputados del Honorable Congreso de la Unión.</w:t>
            </w:r>
          </w:p>
        </w:tc>
        <w:tc>
          <w:tcPr>
            <w:tcW w:w="1276" w:type="dxa"/>
            <w:vAlign w:val="center"/>
          </w:tcPr>
          <w:p w14:paraId="46096BE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19-mar-25</w:t>
            </w:r>
          </w:p>
        </w:tc>
        <w:tc>
          <w:tcPr>
            <w:tcW w:w="1133" w:type="dxa"/>
            <w:vAlign w:val="center"/>
          </w:tcPr>
          <w:p w14:paraId="727DDCF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26-mar-25</w:t>
            </w:r>
          </w:p>
        </w:tc>
        <w:tc>
          <w:tcPr>
            <w:tcW w:w="1276" w:type="dxa"/>
            <w:vAlign w:val="center"/>
          </w:tcPr>
          <w:p w14:paraId="61925A86"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 xml:space="preserve">27-Mar-25                          </w:t>
            </w:r>
          </w:p>
        </w:tc>
        <w:tc>
          <w:tcPr>
            <w:tcW w:w="1276" w:type="dxa"/>
            <w:vAlign w:val="center"/>
          </w:tcPr>
          <w:p w14:paraId="46A7B772"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27-mar-25</w:t>
            </w:r>
          </w:p>
        </w:tc>
        <w:tc>
          <w:tcPr>
            <w:tcW w:w="992" w:type="dxa"/>
            <w:vAlign w:val="center"/>
          </w:tcPr>
          <w:p w14:paraId="2B35786B"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27-mar-25</w:t>
            </w:r>
          </w:p>
        </w:tc>
        <w:tc>
          <w:tcPr>
            <w:tcW w:w="1276" w:type="dxa"/>
            <w:vAlign w:val="center"/>
          </w:tcPr>
          <w:p w14:paraId="3D5958D8" w14:textId="77777777" w:rsidR="001D5002" w:rsidRDefault="00B870AB">
            <w:pPr>
              <w:jc w:val="center"/>
              <w:rPr>
                <w:rFonts w:ascii="Arial" w:eastAsia="Arial" w:hAnsi="Arial" w:cs="Arial"/>
                <w:sz w:val="20"/>
                <w:szCs w:val="20"/>
              </w:rPr>
            </w:pPr>
            <w:r>
              <w:rPr>
                <w:rFonts w:ascii="Arial" w:eastAsia="Arial" w:hAnsi="Arial" w:cs="Arial"/>
                <w:sz w:val="20"/>
                <w:szCs w:val="20"/>
              </w:rPr>
              <w:t>66/2025</w:t>
            </w:r>
          </w:p>
        </w:tc>
      </w:tr>
      <w:tr w:rsidR="001D5002" w14:paraId="47E848BB" w14:textId="77777777">
        <w:trPr>
          <w:trHeight w:val="2247"/>
        </w:trPr>
        <w:tc>
          <w:tcPr>
            <w:tcW w:w="3261" w:type="dxa"/>
            <w:vAlign w:val="center"/>
          </w:tcPr>
          <w:p w14:paraId="78254D30"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Oficio Número DGPL-66-II-2-666 mediante el cual se remite la Minuta con proyecto de decreto por el que se reforman los artículos 76 y 78 de la Constitución Política de los Estados Unidos Mexicanos, en materia de ratificación de grados superiores de la guardia nacional, </w:t>
            </w:r>
            <w:r>
              <w:rPr>
                <w:rFonts w:ascii="Arial" w:eastAsia="Arial" w:hAnsi="Arial" w:cs="Arial"/>
                <w:color w:val="000000"/>
                <w:sz w:val="20"/>
                <w:szCs w:val="20"/>
              </w:rPr>
              <w:t>remitida por la Cámara de Diputados del Honorable Congreso de la Unión.</w:t>
            </w:r>
          </w:p>
        </w:tc>
        <w:tc>
          <w:tcPr>
            <w:tcW w:w="1276" w:type="dxa"/>
            <w:vAlign w:val="center"/>
          </w:tcPr>
          <w:p w14:paraId="4A0F3581"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24-sep-25</w:t>
            </w:r>
          </w:p>
        </w:tc>
        <w:tc>
          <w:tcPr>
            <w:tcW w:w="1133" w:type="dxa"/>
            <w:vAlign w:val="center"/>
          </w:tcPr>
          <w:p w14:paraId="4484747F"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287615C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552E9E3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992" w:type="dxa"/>
            <w:vAlign w:val="center"/>
          </w:tcPr>
          <w:p w14:paraId="78781717"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321AC445" w14:textId="77777777" w:rsidR="001D5002" w:rsidRDefault="00B870AB">
            <w:pPr>
              <w:jc w:val="center"/>
              <w:rPr>
                <w:rFonts w:ascii="Arial" w:eastAsia="Arial" w:hAnsi="Arial" w:cs="Arial"/>
                <w:sz w:val="20"/>
                <w:szCs w:val="20"/>
              </w:rPr>
            </w:pPr>
            <w:r>
              <w:rPr>
                <w:rFonts w:ascii="Arial" w:eastAsia="Arial" w:hAnsi="Arial" w:cs="Arial"/>
                <w:sz w:val="20"/>
                <w:szCs w:val="20"/>
              </w:rPr>
              <w:t>114/2025</w:t>
            </w:r>
          </w:p>
        </w:tc>
      </w:tr>
      <w:tr w:rsidR="001D5002" w14:paraId="23D8C68D" w14:textId="77777777">
        <w:trPr>
          <w:trHeight w:val="2247"/>
        </w:trPr>
        <w:tc>
          <w:tcPr>
            <w:tcW w:w="3261" w:type="dxa"/>
            <w:vAlign w:val="center"/>
          </w:tcPr>
          <w:p w14:paraId="353B1A95" w14:textId="77777777" w:rsidR="001D5002" w:rsidRDefault="00B870AB">
            <w:pPr>
              <w:jc w:val="both"/>
              <w:rPr>
                <w:rFonts w:ascii="Arial" w:eastAsia="Arial" w:hAnsi="Arial" w:cs="Arial"/>
                <w:color w:val="000000"/>
                <w:sz w:val="20"/>
                <w:szCs w:val="20"/>
              </w:rPr>
            </w:pPr>
            <w:r>
              <w:rPr>
                <w:rFonts w:ascii="Arial" w:eastAsia="Arial" w:hAnsi="Arial" w:cs="Arial"/>
                <w:b/>
                <w:bCs/>
                <w:color w:val="000000"/>
                <w:sz w:val="20"/>
                <w:szCs w:val="20"/>
              </w:rPr>
              <w:t xml:space="preserve">Oficio Número DGPL-1P2A.-1315.30, mediante el cual remite el proyecto de decreto por el que se reforma el inciso a) de la fracción XXI del artículo 73 de la Constitución Política de los Estados Unidos Mexicanos, en materia de extorsión, </w:t>
            </w:r>
            <w:r>
              <w:rPr>
                <w:rFonts w:ascii="Arial" w:eastAsia="Arial" w:hAnsi="Arial" w:cs="Arial"/>
                <w:color w:val="000000"/>
                <w:sz w:val="20"/>
                <w:szCs w:val="20"/>
              </w:rPr>
              <w:t>remitida por la Cámara de Senadores del Honorable Congreso de la Unión.</w:t>
            </w:r>
          </w:p>
        </w:tc>
        <w:tc>
          <w:tcPr>
            <w:tcW w:w="1276" w:type="dxa"/>
            <w:vAlign w:val="center"/>
          </w:tcPr>
          <w:p w14:paraId="37778824"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24-sep-25</w:t>
            </w:r>
          </w:p>
        </w:tc>
        <w:tc>
          <w:tcPr>
            <w:tcW w:w="1133" w:type="dxa"/>
            <w:vAlign w:val="center"/>
          </w:tcPr>
          <w:p w14:paraId="7FAEA7E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6A6BB55C"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41197B0A"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992" w:type="dxa"/>
            <w:vAlign w:val="center"/>
          </w:tcPr>
          <w:p w14:paraId="099208B3" w14:textId="77777777" w:rsidR="001D5002" w:rsidRDefault="00B870AB">
            <w:pPr>
              <w:jc w:val="center"/>
              <w:rPr>
                <w:rFonts w:ascii="Arial" w:eastAsia="Arial" w:hAnsi="Arial" w:cs="Arial"/>
                <w:color w:val="000000"/>
                <w:sz w:val="20"/>
                <w:szCs w:val="20"/>
              </w:rPr>
            </w:pPr>
            <w:r>
              <w:rPr>
                <w:rFonts w:ascii="Arial" w:eastAsia="Arial" w:hAnsi="Arial" w:cs="Arial"/>
                <w:color w:val="000000"/>
                <w:sz w:val="20"/>
                <w:szCs w:val="20"/>
              </w:rPr>
              <w:t>25-sep-25</w:t>
            </w:r>
          </w:p>
        </w:tc>
        <w:tc>
          <w:tcPr>
            <w:tcW w:w="1276" w:type="dxa"/>
            <w:vAlign w:val="center"/>
          </w:tcPr>
          <w:p w14:paraId="42647B3E" w14:textId="77777777" w:rsidR="001D5002" w:rsidRDefault="00B870AB">
            <w:pPr>
              <w:jc w:val="center"/>
              <w:rPr>
                <w:rFonts w:ascii="Arial" w:eastAsia="Arial" w:hAnsi="Arial" w:cs="Arial"/>
                <w:sz w:val="20"/>
                <w:szCs w:val="20"/>
              </w:rPr>
            </w:pPr>
            <w:r>
              <w:rPr>
                <w:rFonts w:ascii="Arial" w:eastAsia="Arial" w:hAnsi="Arial" w:cs="Arial"/>
                <w:sz w:val="20"/>
                <w:szCs w:val="20"/>
              </w:rPr>
              <w:t>113/2025</w:t>
            </w:r>
          </w:p>
        </w:tc>
      </w:tr>
    </w:tbl>
    <w:p w14:paraId="4E45DE92" w14:textId="77777777" w:rsidR="001D5002" w:rsidRDefault="001D5002">
      <w:pPr>
        <w:pBdr>
          <w:top w:val="nil"/>
          <w:left w:val="nil"/>
          <w:bottom w:val="nil"/>
          <w:right w:val="nil"/>
          <w:between w:val="nil"/>
        </w:pBdr>
        <w:spacing w:line="360" w:lineRule="auto"/>
        <w:ind w:firstLine="709"/>
        <w:jc w:val="both"/>
        <w:rPr>
          <w:rFonts w:ascii="Arial" w:eastAsia="Arial" w:hAnsi="Arial" w:cs="Arial"/>
          <w:color w:val="000000"/>
        </w:rPr>
      </w:pPr>
    </w:p>
    <w:p w14:paraId="69786E96"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Como se puede advertir, la multiplicidad de etapas convierte el procedimiento de reforma constitucional federal en un ejercicio redundante, pues el proceso vigente impone cargas administrativas y temporales que no se traducen en un beneficio democrático adicional, sino que ralentizan la expresión de la voluntad del Congreso del Estado frente a reformas constitucionales cuya resolución debería caracterizarse por la prontitud y la certeza.</w:t>
      </w:r>
    </w:p>
    <w:p w14:paraId="4C3771BE" w14:textId="77777777" w:rsidR="001D5002" w:rsidRDefault="00B870AB">
      <w:pPr>
        <w:spacing w:before="280" w:after="280" w:line="360" w:lineRule="auto"/>
        <w:ind w:firstLine="708"/>
        <w:jc w:val="both"/>
        <w:rPr>
          <w:rFonts w:ascii="Arial" w:eastAsia="Arial" w:hAnsi="Arial" w:cs="Arial"/>
          <w:color w:val="000000"/>
        </w:rPr>
      </w:pPr>
      <w:r>
        <w:rPr>
          <w:rFonts w:ascii="Arial" w:eastAsia="Arial" w:hAnsi="Arial" w:cs="Arial"/>
          <w:color w:val="000000"/>
        </w:rPr>
        <w:t>En la práctica, se han identificado tres escenarios: el primero, cuando la comisión reproduce un debate que, invariablemente, será nuevamente replicado en el Pleno, generando un doble gasto de tiempo y recursos sin valor agregado; el segundo, cuando la comisión simplemente omite un análisis sustantivo, trasladando íntegramente la discusión al Pleno, lo que hace irrelevante la etapa previa; y el tercero, aún más problemático, cuando la discusión se agota en comisión y no se reproduce con la misma amplitud en el Pleno, debilitando la publicidad y legitimidad de la decisión parlamentaria.</w:t>
      </w:r>
    </w:p>
    <w:p w14:paraId="06136C87" w14:textId="77777777" w:rsidR="001D5002" w:rsidRDefault="00B870AB">
      <w:pPr>
        <w:spacing w:before="280" w:after="280" w:line="360" w:lineRule="auto"/>
        <w:ind w:firstLine="708"/>
        <w:jc w:val="both"/>
        <w:rPr>
          <w:rFonts w:ascii="Arial" w:eastAsia="Arial" w:hAnsi="Arial" w:cs="Arial"/>
          <w:color w:val="000000"/>
        </w:rPr>
      </w:pPr>
      <w:r>
        <w:rPr>
          <w:rFonts w:ascii="Arial" w:eastAsia="Arial" w:hAnsi="Arial" w:cs="Arial"/>
          <w:color w:val="000000"/>
        </w:rPr>
        <w:t>Por ello, eliminar la dictaminación en este tipo de asuntos no significa instaurar un mecanismo de aprobación automática o de “</w:t>
      </w:r>
      <w:r>
        <w:rPr>
          <w:rFonts w:ascii="Arial" w:eastAsia="Arial" w:hAnsi="Arial" w:cs="Arial"/>
          <w:i/>
          <w:iCs/>
          <w:color w:val="000000"/>
        </w:rPr>
        <w:t>fast track”</w:t>
      </w:r>
      <w:r>
        <w:rPr>
          <w:rFonts w:ascii="Arial" w:eastAsia="Arial" w:hAnsi="Arial" w:cs="Arial"/>
          <w:color w:val="000000"/>
        </w:rPr>
        <w:t>. Antes bien, implica trasladar el debate al espacio natural de deliberación: el Pleno, donde concurren la pluralidad de fuerzas políticas, se garantiza la publicidad de las discusiones y se asegura la formalidad de la votación nominal. La simplificación, en consecuencia, no equivale a omisión, sino a la supresión de un trámite redundante que no añade valor democrático al proceso y que puede, en algunos casos, incluso, restar legitimidad.</w:t>
      </w:r>
    </w:p>
    <w:p w14:paraId="32373D1A" w14:textId="77777777" w:rsidR="001D5002" w:rsidRDefault="00B870AB">
      <w:pPr>
        <w:pBdr>
          <w:top w:val="nil"/>
          <w:left w:val="nil"/>
          <w:bottom w:val="nil"/>
          <w:right w:val="nil"/>
          <w:between w:val="nil"/>
        </w:pBdr>
        <w:spacing w:line="360" w:lineRule="auto"/>
        <w:ind w:firstLine="709"/>
        <w:jc w:val="both"/>
        <w:rPr>
          <w:rFonts w:ascii="Arial" w:eastAsia="Arial" w:hAnsi="Arial" w:cs="Arial"/>
          <w:color w:val="000000"/>
          <w:u w:val="single"/>
        </w:rPr>
      </w:pPr>
      <w:r>
        <w:rPr>
          <w:rFonts w:ascii="Arial" w:eastAsia="Arial" w:hAnsi="Arial" w:cs="Arial"/>
          <w:color w:val="000000"/>
        </w:rPr>
        <w:t xml:space="preserve">Este razonamiento encuentra respaldo en la </w:t>
      </w:r>
      <w:r>
        <w:rPr>
          <w:rFonts w:ascii="Arial" w:eastAsia="Arial" w:hAnsi="Arial" w:cs="Arial"/>
          <w:b/>
          <w:bCs/>
          <w:color w:val="000000"/>
        </w:rPr>
        <w:t>TESIS PLENARIA P. XLIX/2008</w:t>
      </w:r>
      <w:r>
        <w:rPr>
          <w:rFonts w:ascii="Arial" w:eastAsia="Arial" w:hAnsi="Arial" w:cs="Arial"/>
          <w:color w:val="000000"/>
          <w:vertAlign w:val="superscript"/>
        </w:rPr>
        <w:footnoteReference w:id="1"/>
      </w:r>
      <w:r>
        <w:rPr>
          <w:rFonts w:ascii="Arial" w:eastAsia="Arial" w:hAnsi="Arial" w:cs="Arial"/>
          <w:b/>
          <w:bCs/>
          <w:color w:val="000000"/>
        </w:rPr>
        <w:t xml:space="preserve"> </w:t>
      </w:r>
      <w:r>
        <w:rPr>
          <w:rFonts w:ascii="Arial" w:eastAsia="Arial" w:hAnsi="Arial" w:cs="Arial"/>
          <w:color w:val="000000"/>
        </w:rPr>
        <w:t xml:space="preserve">de la Suprema Corte de Justicia de la Nación, que establece la necesidad de armonizar dos principios fundamentales en la valoración de los procedimientos legislativos: el de </w:t>
      </w:r>
      <w:r>
        <w:rPr>
          <w:rFonts w:ascii="Arial" w:eastAsia="Arial" w:hAnsi="Arial" w:cs="Arial"/>
          <w:b/>
          <w:bCs/>
          <w:color w:val="000000"/>
          <w:u w:val="single"/>
        </w:rPr>
        <w:t>economía procesal</w:t>
      </w:r>
      <w:r>
        <w:rPr>
          <w:rFonts w:ascii="Arial" w:eastAsia="Arial" w:hAnsi="Arial" w:cs="Arial"/>
          <w:color w:val="000000"/>
        </w:rPr>
        <w:t xml:space="preserve"> y el de </w:t>
      </w:r>
      <w:r>
        <w:rPr>
          <w:rFonts w:ascii="Arial" w:eastAsia="Arial" w:hAnsi="Arial" w:cs="Arial"/>
          <w:b/>
          <w:bCs/>
          <w:color w:val="000000"/>
          <w:u w:val="single"/>
        </w:rPr>
        <w:t>equidad en la deliberación</w:t>
      </w:r>
      <w:r>
        <w:rPr>
          <w:rFonts w:ascii="Arial" w:eastAsia="Arial" w:hAnsi="Arial" w:cs="Arial"/>
          <w:color w:val="000000"/>
        </w:rPr>
        <w:t>. El primero evita la reposición innecesaria de etapas que no alteran la voluntad parlamentaria expresada; el segundo asegura que ninguna irregularidad comprometa la participación de las minorías parlamentarias. A la luz de estos criterios, la supresión de la etapa de dictaminación de minutas que contengan reformas a la constitución federal se presenta como una medida que optimiza el procedimiento, al eliminar un trámite repetitivo sin menoscabar el derecho de intervención de los grupos parlamentarios, quienes conservan intacta su capacidad de deliberación y votación en el Pleno. De este modo</w:t>
      </w:r>
      <w:r>
        <w:rPr>
          <w:rFonts w:ascii="Arial" w:eastAsia="Arial" w:hAnsi="Arial" w:cs="Arial"/>
          <w:b/>
          <w:bCs/>
          <w:color w:val="000000"/>
          <w:u w:val="single"/>
        </w:rPr>
        <w:t>, la validez y legitimidad del proceso se mantienen, al tiempo que se garantiza un desarrollo más ágil y eficiente de la función legislativa.</w:t>
      </w:r>
    </w:p>
    <w:p w14:paraId="0C2FE1EB" w14:textId="77777777" w:rsidR="001D5002" w:rsidRDefault="001D5002">
      <w:pPr>
        <w:pBdr>
          <w:top w:val="nil"/>
          <w:left w:val="nil"/>
          <w:bottom w:val="nil"/>
          <w:right w:val="nil"/>
          <w:between w:val="nil"/>
        </w:pBdr>
        <w:spacing w:line="360" w:lineRule="auto"/>
        <w:ind w:firstLine="709"/>
        <w:jc w:val="both"/>
        <w:rPr>
          <w:rFonts w:ascii="Arial" w:eastAsia="Arial" w:hAnsi="Arial" w:cs="Arial"/>
          <w:color w:val="000000"/>
        </w:rPr>
      </w:pPr>
    </w:p>
    <w:p w14:paraId="23FAB530" w14:textId="77777777" w:rsidR="001D5002" w:rsidRDefault="00B870AB">
      <w:pPr>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No obstante, ello no implica cerrar totalmente la puerta a la dictaminación en estos casos. De manera excepcional, y cuando así lo demande la relevancia del tema o la necesidad de ordenar la deliberación, esta reforma contempla la posibilidad de que la Legislatura pueda acordar que una minuta federal sea objeto de dictamen previo en Comisión. De esta forma, se mantiene un cauce flexible que atiende a circunstancias extraordinarias, sin menoscabar el principio general de simplificación procedimental.</w:t>
      </w:r>
    </w:p>
    <w:p w14:paraId="6405AA7B" w14:textId="77777777" w:rsidR="001D5002" w:rsidRDefault="001D5002">
      <w:pPr>
        <w:pBdr>
          <w:top w:val="nil"/>
          <w:left w:val="nil"/>
          <w:bottom w:val="nil"/>
          <w:right w:val="nil"/>
          <w:between w:val="nil"/>
        </w:pBdr>
        <w:spacing w:line="360" w:lineRule="auto"/>
        <w:jc w:val="both"/>
        <w:rPr>
          <w:rFonts w:ascii="Arial" w:eastAsia="Arial" w:hAnsi="Arial" w:cs="Arial"/>
          <w:color w:val="000000"/>
        </w:rPr>
      </w:pPr>
    </w:p>
    <w:p w14:paraId="486A2BCA"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 xml:space="preserve">SEXTA. </w:t>
      </w:r>
      <w:r>
        <w:rPr>
          <w:rFonts w:ascii="Arial" w:eastAsia="Arial" w:hAnsi="Arial" w:cs="Arial"/>
          <w:color w:val="000000"/>
        </w:rPr>
        <w:t>En el mismo sentido, el debate parlamentario constituye la esencia misma de la función legislativa en un Estado democrático de derecho. No se trata únicamente de un intercambio formal de argumentos, sino de un proceso de deliberación pública que permite confrontar visiones, enriquecer propuestas y, en última instancia, dotar de legitimidad a las decisiones que emanan del Congreso. La Constitución Federal y la del Estado de Yucatán, al reconocer a las legislaturas como órganos representativos de la pluralidad política, implican que sus procedimientos internos deben propiciar condiciones para una discusión efectiva, plural y transparente.</w:t>
      </w:r>
    </w:p>
    <w:p w14:paraId="2C1ECEEF"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La Suprema Corte de Justicia de la Nación ha sostenido de manera reiterada que el procedimiento legislativo debe observar los principios de equidad y participación real de las fuerzas políticas, de modo que no se restrinja la capacidad argumentativa de los legisladores. La antes mencionada </w:t>
      </w:r>
      <w:r>
        <w:rPr>
          <w:rFonts w:ascii="Arial" w:eastAsia="Arial" w:hAnsi="Arial" w:cs="Arial"/>
          <w:b/>
          <w:bCs/>
        </w:rPr>
        <w:t>TESIS PLENARIA P. XLIX/2008</w:t>
      </w:r>
      <w:r>
        <w:rPr>
          <w:rFonts w:ascii="Arial" w:eastAsia="Arial" w:hAnsi="Arial" w:cs="Arial"/>
        </w:rPr>
        <w:t xml:space="preserve"> destaca que el procedimiento legislativo debe garantizar igualdad de condiciones en la deliberación, asegurando que todas las fuerzas políticas tengan oportunidad efectiva de expresar sus argumentos. Asimismo, en la </w:t>
      </w:r>
      <w:r>
        <w:rPr>
          <w:rFonts w:ascii="Arial" w:eastAsia="Arial" w:hAnsi="Arial" w:cs="Arial"/>
          <w:b/>
          <w:bCs/>
        </w:rPr>
        <w:t>ACCIÓN DE INCONSTITUCIONALIDAD 29/2023 Y SUS ACUMULADAS 30/2023, 31/2023, 37/2023, 38/2023, 43/2023 Y 47/2023</w:t>
      </w:r>
      <w:r>
        <w:rPr>
          <w:rFonts w:ascii="Arial" w:eastAsia="Arial" w:hAnsi="Arial" w:cs="Arial"/>
          <w:b/>
          <w:bCs/>
          <w:vertAlign w:val="superscript"/>
        </w:rPr>
        <w:footnoteReference w:id="2"/>
      </w:r>
      <w:r>
        <w:rPr>
          <w:rFonts w:ascii="Arial" w:eastAsia="Arial" w:hAnsi="Arial" w:cs="Arial"/>
        </w:rPr>
        <w:t>, el Pleno subrayó que el principio de deliberación democrática exige que los órganos colegiados permitan el debate sustantivo y no meramente formal, ya que de lo contrario se compromete la validez misma de los actos parlamentarios.</w:t>
      </w:r>
    </w:p>
    <w:p w14:paraId="34F5658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Bajo esta óptica, los tiempos de intervención reducidos para la exposición de iniciativas y acuerdos pueden convertirse en un obstáculo para que las y los legisladores expliquen con la amplitud necesaria los fundamentos y alcances de sus propuestas, en especial cuando se trata de asuntos de trascendencia jurídica, social o presupuestal. </w:t>
      </w:r>
      <w:r>
        <w:rPr>
          <w:rFonts w:ascii="Arial" w:eastAsia="Arial" w:hAnsi="Arial" w:cs="Arial"/>
          <w:b/>
          <w:bCs/>
          <w:u w:val="single"/>
        </w:rPr>
        <w:t>Ampliar hasta por diez minutos la intervención para la presentación de iniciativas, y hasta por siete minutos en el caso de acuerdos</w:t>
      </w:r>
      <w:r>
        <w:rPr>
          <w:rFonts w:ascii="Arial" w:eastAsia="Arial" w:hAnsi="Arial" w:cs="Arial"/>
        </w:rPr>
        <w:t>, no constituye una dilación indebida del proceso, sino una medida proporcional que fortalece la calidad del debate legislativo.</w:t>
      </w:r>
    </w:p>
    <w:p w14:paraId="45453A3F"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Por tanto, la reforma planteada representa un perfeccionamiento del marco normativo interno del Congreso del Estado, en tanto equilibra el deber de economía procesal con la necesidad de garantizar un proceso deliberativo incluyente, plural y robusto. Al otorgar tiempos más amplios y razonables de exposición, se fomenta que las y los diputados expresen con claridad los alcances de sus propuestas, lo que redunda en mayor transparencia hacia la ciudadanía y en decisiones parlamentarias mejor fundamentadas, en concordancia con los principios constitucionales que rigen la función legislativa.</w:t>
      </w:r>
    </w:p>
    <w:p w14:paraId="0BD857EF"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 xml:space="preserve">SÉPTIMA. </w:t>
      </w:r>
      <w:r>
        <w:rPr>
          <w:rFonts w:ascii="Arial" w:eastAsia="Arial" w:hAnsi="Arial" w:cs="Arial"/>
          <w:color w:val="000000"/>
        </w:rPr>
        <w:t xml:space="preserve">En cuanto a la disposición que establece, en el segundo párrafo del artículo 68 del Reglamento, que </w:t>
      </w:r>
      <w:r>
        <w:rPr>
          <w:rFonts w:ascii="Arial" w:eastAsia="Arial" w:hAnsi="Arial" w:cs="Arial"/>
          <w:i/>
          <w:iCs/>
          <w:color w:val="000000"/>
        </w:rPr>
        <w:t>“a las iniciativas y acuerdos presentados se les dará lectura ante el Pleno en la sesión en que fueren integradas al Orden del Día”</w:t>
      </w:r>
      <w:r>
        <w:rPr>
          <w:rFonts w:ascii="Arial" w:eastAsia="Arial" w:hAnsi="Arial" w:cs="Arial"/>
          <w:color w:val="000000"/>
        </w:rPr>
        <w:t>, los integrantes de esta Comisión Permanente estimamos pertinente su eliminación, toda vez que su aplicación práctica ha demostrado ser redundante e ineficiente dentro del procedimiento legislativo. En la práctica parlamentaria, dicha lectura resulta innecesaria, ya que las y los diputados tienen acceso previo a los documentos que integran el Orden del Día e incluso antes, al proceso de dictaminación en comisiones, y en la mayoría de los casos se solicita de manera reiterada la dispensa de lectura, lo que evidencia que mantener la obligación formal carece de utilidad real.</w:t>
      </w:r>
    </w:p>
    <w:p w14:paraId="05B22586"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La permanencia de esta disposición representa un formalismo carente de eficacia, que obstaculiza la agilidad de las sesiones y prolonga innecesariamente los trabajos del Pleno, sin aportar valor alguno al debate legislativo ni al principio de deliberación informada. En atención a los principios de eficiencia, racionalidad y economía procesal que deben regir la función parlamentaria, resulta coherente suprimir la obligación de lectura íntegra de las iniciativas y acuerdos, preservando únicamente los mecanismos de registro, publicación y difusión suficientes para garantizar la transparencia y el acceso a la información legislativa.</w:t>
      </w:r>
    </w:p>
    <w:p w14:paraId="1E5633E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Por lo tanto, la modificación propuesta no debilita el proceso deliberativo, sino que lo moderniza y racionaliza, adecuando la práctica parlamentaria a los estándares de eficacia institucional que deben orientar el trabajo legislativo contemporáneo.</w:t>
      </w:r>
    </w:p>
    <w:p w14:paraId="6C124E41"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OCTAVA.</w:t>
      </w:r>
      <w:r>
        <w:rPr>
          <w:rFonts w:ascii="Arial" w:eastAsia="Arial" w:hAnsi="Arial" w:cs="Arial"/>
          <w:color w:val="000000"/>
        </w:rPr>
        <w:t xml:space="preserve"> Por otra parte, en lo relativo al procedimiento de moción suspensiva, esta Comisión advierte la existencia de una antinomia normativa entre el contenido del artículo 89,</w:t>
      </w:r>
      <w:r>
        <w:rPr>
          <w:rFonts w:ascii="Arial" w:eastAsia="Arial" w:hAnsi="Arial" w:cs="Arial"/>
          <w:b/>
          <w:bCs/>
          <w:color w:val="000000"/>
        </w:rPr>
        <w:t xml:space="preserve"> </w:t>
      </w:r>
      <w:r>
        <w:rPr>
          <w:rFonts w:ascii="Arial" w:eastAsia="Arial" w:hAnsi="Arial" w:cs="Arial"/>
          <w:color w:val="000000"/>
        </w:rPr>
        <w:t>fracción IV del Reglamento, y el artículo 95 Ter, incorporado mediante una reforma posterior. Ambos preceptos regulan el mismo supuesto: la posibilidad de que las diputadas y los diputados soliciten la suspensión de la discusión de un asunto en trámite. Sin embargo, difieren sustancialmente en su tramitación, generando confusión interpretativa y operativa.</w:t>
      </w:r>
    </w:p>
    <w:p w14:paraId="155100F0"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El artículo 89, fracción IV establece un procedimiento ágil y acotado, conforme al cual, una vez admitida la moción suspensiva, se discute de inmediato, concediéndose el uso de la palabra a dos legisladoras o legisladores a favor y dos en contra, por un tiempo máximo de cinco minutos cada uno, tras lo cual se procede a preguntar al Pleno si se aprueba la solicitud. Esta redacción responde a un modelo de deliberación parlamentaria claro, eficaz y compatible con la dinámica ordinaria de las sesiones, asegurando la participación suficiente de los oradores sin interrumpir indebidamente el curso del debate.</w:t>
      </w:r>
    </w:p>
    <w:p w14:paraId="5F9DAB43"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contraste, el artículo 95 Ter introdujo un procedimiento más extenso, rígido y redundante, que inicia con la presentación por escrito de la moción, firmada por sus autores, antes del inicio de la discusión en lo general. Este artículo dispone que la Presidencia, tras verificar su cumplimiento formal, pueda ordenar su lectura, y posteriormente someta al Pleno una votación previa de admisión. Sólo en caso de obtener mayoría, la moción se discute, permitiendo la intervención de un autor y un impugnador, y después de una nueva votación para determinar si se toma en consideración. Si el resultado es afirmativo, entonces se abre una segunda fase de discusión con tres oradores a favor y tres en contra, volviéndose a votar al término del debate. Finalmente, si la moción es aceptada y versa sobre un dictamen, el artículo prevé un nuevo paso: consultar al Pleno si el asunto se devuelve a la Comisión dictaminadora, la cual deberá rehacer el documento en un plazo de hasta diez días hábiles.</w:t>
      </w:r>
    </w:p>
    <w:p w14:paraId="3EC00C65"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Este entramado procedimental no solo duplica votaciones y etapas, sino que entorpece la celeridad de las deliberaciones, </w:t>
      </w:r>
      <w:r>
        <w:rPr>
          <w:rFonts w:ascii="Arial" w:eastAsia="Arial" w:hAnsi="Arial" w:cs="Arial"/>
          <w:b/>
          <w:bCs/>
          <w:u w:val="single"/>
        </w:rPr>
        <w:t>generando una burocratización innecesaria en una figura que, por su naturaleza, debe servir precisamente para suspender temporalmente un debate, no para abrir uno adicional.</w:t>
      </w:r>
      <w:r>
        <w:rPr>
          <w:rFonts w:ascii="Arial" w:eastAsia="Arial" w:hAnsi="Arial" w:cs="Arial"/>
        </w:rPr>
        <w:t xml:space="preserve"> Además, la coexistencia de ambos artículos introduce inseguridad jurídica, pues ambos se refieren a la “moción suspensiva”, pero con procedimientos incompatibles entre sí y sin jerarquía normativa que resuelva el conflicto.</w:t>
      </w:r>
    </w:p>
    <w:p w14:paraId="68A85D79"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la práctica parlamentaria del Congreso del Estado de Yucatán, el procedimiento que efectivamente se aplica es el previsto en el artículo 89, fracción IV, que permite resolver las solicitudes suspensivas de manera inmediata, con claridad y orden. El artículo 95 Ter, en cambio, no se ha aplicado de manera consistente desde su incorporación, precisamente por su complejidad y contradicción técnica frente al sistema reglamentario vigente.</w:t>
      </w:r>
    </w:p>
    <w:p w14:paraId="1E16E28C"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Por estas razones, y en observancia de los principios de coherencia normativa, economía procesal y seguridad jurídica, esta Comisión considera procedente </w:t>
      </w:r>
      <w:r>
        <w:rPr>
          <w:rFonts w:ascii="Arial" w:eastAsia="Arial" w:hAnsi="Arial" w:cs="Arial"/>
          <w:b/>
          <w:bCs/>
          <w:u w:val="single"/>
        </w:rPr>
        <w:t>derogar el artículo 95 Ter del Reglamento del Congreso del Estado de Yucatán</w:t>
      </w:r>
      <w:r>
        <w:rPr>
          <w:rFonts w:ascii="Arial" w:eastAsia="Arial" w:hAnsi="Arial" w:cs="Arial"/>
        </w:rPr>
        <w:t>, conservando la regulación contenida en el artículo 89, fracción IV, que continúa ofreciendo un marco operativo claro, eficiente y acorde con la práctica parlamentaria. Con ello, se elimina una disposición que resultó innecesaria en su creación, confusa en su redacción y carente de aplicación práctica, restableciendo la unidad técnica y la certeza procedimental del Reglamento.</w:t>
      </w:r>
    </w:p>
    <w:p w14:paraId="6EFDC470"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NOVENA.</w:t>
      </w:r>
      <w:r>
        <w:rPr>
          <w:rFonts w:ascii="Arial" w:eastAsia="Arial" w:hAnsi="Arial" w:cs="Arial"/>
          <w:color w:val="000000"/>
        </w:rPr>
        <w:t xml:space="preserve"> De acuerdo con la doctrina, los usos, prácticas o costumbres parlamentarias constituyen verdaderas fuentes del derecho parlamentario, en tanto derivan de la repetición constante de comportamientos aceptados por los integrantes de los órganos legislativos y orientados a garantizar su funcionamiento eficaz. Estas prácticas complementan los estatutos jurídicos y posibilitan la convivencia y la cooperación dentro del debate político, a través de ellas se facilita “la colaboración, la convivencia pacífica y el orden en el desarrollo de las sesiones”</w:t>
      </w:r>
      <w:r>
        <w:rPr>
          <w:rFonts w:ascii="Arial" w:eastAsia="Arial" w:hAnsi="Arial" w:cs="Arial"/>
          <w:color w:val="000000"/>
          <w:vertAlign w:val="superscript"/>
        </w:rPr>
        <w:footnoteReference w:id="3"/>
      </w:r>
      <w:r>
        <w:rPr>
          <w:rFonts w:ascii="Arial" w:eastAsia="Arial" w:hAnsi="Arial" w:cs="Arial"/>
          <w:color w:val="000000"/>
        </w:rPr>
        <w:t>, configurándose como manifestaciones contemporáneas de la práctica parlamentaria.</w:t>
      </w:r>
    </w:p>
    <w:p w14:paraId="1865E3A4" w14:textId="77777777" w:rsidR="001D5002" w:rsidRDefault="00B870AB">
      <w:pPr>
        <w:pBdr>
          <w:top w:val="nil"/>
          <w:left w:val="nil"/>
          <w:bottom w:val="nil"/>
          <w:right w:val="nil"/>
          <w:between w:val="nil"/>
        </w:pBdr>
        <w:spacing w:before="100" w:after="100" w:line="360" w:lineRule="auto"/>
        <w:ind w:firstLine="708"/>
        <w:jc w:val="both"/>
        <w:rPr>
          <w:rFonts w:ascii="Arial" w:eastAsia="Arial" w:hAnsi="Arial" w:cs="Arial"/>
          <w:color w:val="000000"/>
        </w:rPr>
      </w:pPr>
      <w:r>
        <w:rPr>
          <w:rFonts w:ascii="Arial" w:eastAsia="Arial" w:hAnsi="Arial" w:cs="Arial"/>
          <w:color w:val="000000"/>
        </w:rPr>
        <w:t>Por este motivo la incorporación del artículo 98 Bis al Reglamento de la Ley de Gobierno del Poder Legislativo del Estado de Yucatán responde a la necesidad de reconocer de manera expresa la facultad de la Presidencia de la Mesa Directiva para aplicar la práctica parlamentaria como instrumento auxiliar que permite preservar el orden, la equidad y la continuidad en el desarrollo de las sesiones.</w:t>
      </w:r>
    </w:p>
    <w:p w14:paraId="17DAD43C"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En este sentido, la práctica parlamentaria no solo cumple una función técnica de conducción, sino también ética y civilizatoria: es la expresión formal de la cortesía parlamentaria, entendida como el conjunto de comportamientos basados en la amabilidad, el respeto y la deferencia recíproca entre legisladores. Estos gestos, que pueden manifestarse en la flexibilidad prudente del uso de la palabra, en el respeto de los turnos o en la consideración hacia las intervenciones ajenas, constituyen la dimensión humana de la vida legislativa. </w:t>
      </w:r>
    </w:p>
    <w:p w14:paraId="410CCA7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El precepto propuesto delimita con precisión los alcances de esta facultad: </w:t>
      </w:r>
      <w:r>
        <w:rPr>
          <w:rFonts w:ascii="Arial" w:eastAsia="Arial" w:hAnsi="Arial" w:cs="Arial"/>
          <w:b/>
          <w:bCs/>
          <w:u w:val="single"/>
        </w:rPr>
        <w:t>la práctica parlamentaria no podrá modificar votaciones, plazos o requisitos legales</w:t>
      </w:r>
      <w:r>
        <w:rPr>
          <w:rFonts w:ascii="Arial" w:eastAsia="Arial" w:hAnsi="Arial" w:cs="Arial"/>
        </w:rPr>
        <w:t>, pero podrá emplearse para resolver incidencias menores, ordenar intervenciones, ajustar tiempos o garantizar la armonía del debate, siempre conforme a los principios de legalidad, imparcialidad y buena fe. Con ello, se preserva la supremacía del orden normativo sin privar al Congreso de la flexibilidad razonable que exige su dinámica institucional.</w:t>
      </w:r>
    </w:p>
    <w:p w14:paraId="22C08B81"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En consecuencia, </w:t>
      </w:r>
      <w:r>
        <w:rPr>
          <w:rFonts w:ascii="Arial" w:eastAsia="Arial" w:hAnsi="Arial" w:cs="Arial"/>
          <w:b/>
          <w:bCs/>
          <w:u w:val="single"/>
        </w:rPr>
        <w:t>la adición del artículo 98 Bis fortalece la institucionalidad parlamentaria</w:t>
      </w:r>
      <w:r>
        <w:rPr>
          <w:rFonts w:ascii="Arial" w:eastAsia="Arial" w:hAnsi="Arial" w:cs="Arial"/>
        </w:rPr>
        <w:t xml:space="preserve"> al reconocer jurídicamente una práctica que, de hecho, sostiene el funcionamiento del Congreso: el ejercicio de la autoridad con prudencia, respeto y cortesía. La práctica parlamentaria no solo ordena los procedimientos, sino que humaniza la deliberación democrática, recordando que el derecho parlamentario no se limita al cumplimiento de reglas, sino que también descansa en la cultura del diálogo y el reconocimiento mutuo.</w:t>
      </w:r>
    </w:p>
    <w:p w14:paraId="4FB49DE4" w14:textId="77777777" w:rsidR="001D5002" w:rsidRPr="00AB3FA5" w:rsidRDefault="00AB3FA5" w:rsidP="00AB3FA5">
      <w:pPr>
        <w:pBdr>
          <w:top w:val="nil"/>
          <w:left w:val="nil"/>
          <w:bottom w:val="nil"/>
          <w:right w:val="nil"/>
          <w:between w:val="nil"/>
        </w:pBdr>
        <w:spacing w:before="100" w:after="100" w:line="360" w:lineRule="auto"/>
        <w:jc w:val="both"/>
        <w:rPr>
          <w:rFonts w:ascii="Arial" w:eastAsia="Arial" w:hAnsi="Arial" w:cs="Arial"/>
        </w:rPr>
      </w:pPr>
      <w:r>
        <w:rPr>
          <w:rFonts w:ascii="Arial" w:eastAsia="Arial" w:hAnsi="Arial" w:cs="Arial"/>
          <w:b/>
          <w:bCs/>
          <w:color w:val="000000"/>
        </w:rPr>
        <w:t>DÉCIMA</w:t>
      </w:r>
      <w:r w:rsidR="00B870AB">
        <w:rPr>
          <w:rFonts w:ascii="Arial" w:eastAsia="Arial" w:hAnsi="Arial" w:cs="Arial"/>
          <w:b/>
          <w:bCs/>
        </w:rPr>
        <w:t>.</w:t>
      </w:r>
      <w:r w:rsidR="00B870AB">
        <w:rPr>
          <w:rFonts w:ascii="Arial" w:eastAsia="Arial" w:hAnsi="Arial" w:cs="Arial"/>
        </w:rPr>
        <w:t xml:space="preserve"> En lo que concierne al marco constitucional y legal en materia de transparencia, acceso a la información pública y protección de datos personales ha experimentado, en el año en curso, una reconfiguración profunda tanto a nivel federal como local, que hace indispensable </w:t>
      </w:r>
      <w:r w:rsidR="00B870AB">
        <w:rPr>
          <w:rFonts w:ascii="Arial" w:eastAsia="Arial" w:hAnsi="Arial" w:cs="Arial"/>
          <w:b/>
          <w:bCs/>
          <w:u w:val="single"/>
        </w:rPr>
        <w:t xml:space="preserve">actualizar la normativa interna del Poder Legislativo del Estado de Yucatán. </w:t>
      </w:r>
    </w:p>
    <w:p w14:paraId="5F1A1F59"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el ámbito nacional, en fecha veinte de marzo de dos mil veinticinco se expidió la Ley General de Transparencia y Acceso a la Información Pública redefiniendo y reforzando las bases, principios y procedimientos para garantizar el derecho de acceso a la información, precisando con mayor claridad las obligaciones de los sujetos obligados, los estándares de máxima publicidad, la protección reforzada de datos personales y los mecanismos de coordinación entre Federación y entidades federativas. Dicha Ley General se acompañó, además, de una reforma integral a la Ley Orgánica de la Administración Pública Federal que implicó la creación de la Secretaría Anticorrupción y Buen Gobierno, como instancia rectora de políticas integrales de integridad y rendición de cuentas, así como del organismo denominado “Transparencia para el Pueblo”, concebido como un espacio de vigilancia ciudadana y de interlocución directa con las personas usuarias del derecho de acceso a la información. Este nuevo diseño institucional a nivel federal fortalece el Sistema Nacional de Transparencia y exige que las entidades federativas adecuen sus marcos normativos internos para asegurar la congruencia con los principios de legalidad, certeza, objetividad y coordinación interinstitucional.</w:t>
      </w:r>
    </w:p>
    <w:p w14:paraId="08318C47"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Que, en correspondencia con este rediseño federal y en ejercicio de su soberanía, el día veintiocho de agosto, el Estado de Yucatán expidió la nueva Ley de Transparencia y Acceso a la Información Pública del Estado de Yucatán, la cual actualiza integralmente el régimen local en la materia, abrogando el ordenamiento anterior y armonizándolo con la nueva Ley General. </w:t>
      </w:r>
    </w:p>
    <w:p w14:paraId="6FDF2554" w14:textId="77777777" w:rsidR="001D5002" w:rsidRDefault="00B870AB">
      <w:pPr>
        <w:spacing w:before="280" w:after="280" w:line="360" w:lineRule="auto"/>
        <w:ind w:firstLine="708"/>
        <w:jc w:val="both"/>
        <w:rPr>
          <w:rFonts w:ascii="Arial" w:eastAsia="Arial" w:hAnsi="Arial" w:cs="Arial"/>
          <w:u w:val="single"/>
        </w:rPr>
      </w:pPr>
      <w:r>
        <w:rPr>
          <w:rFonts w:ascii="Arial" w:eastAsia="Arial" w:hAnsi="Arial" w:cs="Arial"/>
        </w:rPr>
        <w:t xml:space="preserve">Esta nueva ley local precisa el catálogo de sujetos obligados, regulando de manera más detallada las obligaciones de transparencia comunes y específicas, fortalece las reglas de protección de datos personales en posesión de sujetos obligados, y define con claridad la distribución de competencias entre el órgano garante local, las unidades de transparencia y los órganos internos de control de los poderes públicos, </w:t>
      </w:r>
      <w:r>
        <w:rPr>
          <w:rFonts w:ascii="Arial" w:eastAsia="Arial" w:hAnsi="Arial" w:cs="Arial"/>
          <w:b/>
          <w:bCs/>
          <w:u w:val="single"/>
        </w:rPr>
        <w:t>entre ellos el Poder Legislativo del Estado.</w:t>
      </w:r>
    </w:p>
    <w:p w14:paraId="5EA807CB"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En este contexto, la presente reforma propone modificar el artículo 75 quáter de la Ley de Gobierno del Poder Legislativo del Estado de Yucatán para </w:t>
      </w:r>
      <w:r>
        <w:rPr>
          <w:rFonts w:ascii="Arial" w:eastAsia="Arial" w:hAnsi="Arial" w:cs="Arial"/>
          <w:b/>
          <w:bCs/>
          <w:u w:val="single"/>
        </w:rPr>
        <w:t>reconocer a la Contraloría Interna, como la Autoridad Garante en materia de transparencia dentro del Poder Legislativo, siendo entonces el órgano responsable de garantizar el ejercicio de los derechos de acceso a la información pública y de protección de datos personales</w:t>
      </w:r>
      <w:r>
        <w:rPr>
          <w:rFonts w:ascii="Arial" w:eastAsia="Arial" w:hAnsi="Arial" w:cs="Arial"/>
        </w:rPr>
        <w:t xml:space="preserve"> conforme a la Constitución Política de los Estados Unidos Mexicanos, la Ley General y la nueva Ley de Transparencia local.</w:t>
      </w:r>
    </w:p>
    <w:p w14:paraId="6F3FCF62"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 indispensable que dicha atribución se ejerza con eficacia y en estricto apego a los principios de legalidad, jerarquía normativa y seguridad jurídica, por lo tanto resulta necesario armonizar también el Reglamento de la Ley de Gobierno del Poder Legislativo del Estado de Yucatán, a fin de que remita de manera expresa a las facultades y atribuciones que la nueva Ley de Transparencia y Acceso a la Información Pública del Estado de Yucatán confiere a los órganos encargados de la materia, particularmente las previstas en su artículo 29 y demás disposiciones aplicables. </w:t>
      </w:r>
    </w:p>
    <w:p w14:paraId="7E03DE3B"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Con ello se evita la duplicidad o dispersión competencial, se dota de certeza a las personas sobre la instancia responsable de garantizar sus derechos de acceso a la información y de protección de datos personales dentro del Congreso, y se contribuye a la implementación efectiva del nuevo sistema nacional y local de transparencia, en observancia de los principios de máxima publicidad, rendición de cuentas, buen gobierno y progresividad de los derechos humanos reconocidos en el artículo 1o. constitucional.</w:t>
      </w:r>
    </w:p>
    <w:p w14:paraId="7571728B" w14:textId="77777777" w:rsidR="001D5002" w:rsidRDefault="00AB3FA5">
      <w:p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b/>
          <w:bCs/>
          <w:color w:val="000000"/>
        </w:rPr>
        <w:t>DÉCIMA PRIMER</w:t>
      </w:r>
      <w:r w:rsidR="00B870AB">
        <w:rPr>
          <w:rFonts w:ascii="Arial" w:eastAsia="Arial" w:hAnsi="Arial" w:cs="Arial"/>
          <w:b/>
          <w:bCs/>
          <w:color w:val="000000"/>
        </w:rPr>
        <w:t>A.</w:t>
      </w:r>
      <w:r w:rsidR="00B870AB">
        <w:rPr>
          <w:rFonts w:ascii="Arial" w:eastAsia="Arial" w:hAnsi="Arial" w:cs="Arial"/>
          <w:color w:val="000000"/>
        </w:rPr>
        <w:t xml:space="preserve"> En otra tesitura,</w:t>
      </w:r>
      <w:r w:rsidR="00B870AB">
        <w:rPr>
          <w:color w:val="000000"/>
        </w:rPr>
        <w:t xml:space="preserve"> </w:t>
      </w:r>
      <w:r w:rsidR="00B870AB">
        <w:rPr>
          <w:rFonts w:ascii="Arial" w:eastAsia="Arial" w:hAnsi="Arial" w:cs="Arial"/>
          <w:color w:val="000000"/>
        </w:rPr>
        <w:t>la denominación de las Comisiones Permanentes es un reflejo de la visión con la que el Congreso del Estado asume su papel frente a la realidad social y cultural de la entidad. En este sentido, resulta necesario transitar de un enfoque restringido, centrado únicamente en el respeto y preservación de la cultura maya, hacia una perspectiva más amplia e incluyente que reconozca la diversidad de pueblos y comunidades que integran el tejido cultural de Yucatán y de México.</w:t>
      </w:r>
    </w:p>
    <w:p w14:paraId="1C443B1B"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El cambio de denominación de la comisión legislativa para incorporar a los pueblos y comunidades maya, indígenas y afromexicanas representa un acto de justicia histórica y un avance en el cumplimiento de los compromisos nacionales e internacionales en materia de derechos humanos, en particular los derivados del artículo 2º constitucional, el Convenio 169 de la Organización Internacional del Trabajo y la Declaración de las Naciones Unidas sobre los Derechos de los Pueblos Indígenas. Este ajuste semántico dota de visibilidad a sectores históricamente discriminados, al reconocer que la cultura no se limita a la preservación de tradiciones, sino que constituye también un eje de identidad, participación política y ejercicio pleno de derechos colectivos.</w:t>
      </w:r>
    </w:p>
    <w:p w14:paraId="009C30FC"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Asimismo, este cambio fortalece la labor legislativa, en la medida en que coloca en el centro de la agenda parlamentaria la atención a la pluralidad cultural y étnica que caracteriza a nuestro estado. Con ello, el Congreso del Estado de Yucatán reafirma su compromiso con un modelo legislativo incluyente, intercultural y respetuoso de la dignidad de todas las personas y comunidades, ampliando su visión para atender de manera integral las demandas y derechos del pueblo maya, de los pueblos originarios en general y de las comunidades afromexicanas, cuya presencia enriquece y diversifica la identidad nacional y estatal.</w:t>
      </w:r>
    </w:p>
    <w:p w14:paraId="030FF38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Esta propuesta no es sólo un cambio nominal, sino un acto con profundo contenido político y jurídico, que busca dotar de mayor legitimidad, coherencia y sensibilidad social al trabajo de esta </w:t>
      </w:r>
      <w:r>
        <w:rPr>
          <w:rFonts w:ascii="Arial" w:eastAsia="Arial" w:hAnsi="Arial" w:cs="Arial"/>
          <w:b/>
          <w:bCs/>
        </w:rPr>
        <w:t>Comisión Permanente</w:t>
      </w:r>
      <w:r>
        <w:rPr>
          <w:rFonts w:ascii="Arial" w:eastAsia="Arial" w:hAnsi="Arial" w:cs="Arial"/>
        </w:rPr>
        <w:t xml:space="preserve"> </w:t>
      </w:r>
      <w:r>
        <w:rPr>
          <w:rFonts w:ascii="Arial" w:eastAsia="Arial" w:hAnsi="Arial" w:cs="Arial"/>
          <w:b/>
          <w:bCs/>
        </w:rPr>
        <w:t>de la preservación de la cultura, identidad y visibilidad del pueblo maya, los pueblos originarios y comunidades afromexicanas</w:t>
      </w:r>
      <w:r>
        <w:rPr>
          <w:rFonts w:ascii="Arial" w:eastAsia="Arial" w:hAnsi="Arial" w:cs="Arial"/>
        </w:rPr>
        <w:t>, alineando su denominación con los principios constitucionales de igualdad, no discriminación y reconocimiento de la diversidad cultural.</w:t>
      </w:r>
    </w:p>
    <w:p w14:paraId="15FEAD42" w14:textId="77777777" w:rsidR="001D5002" w:rsidRDefault="00AB3FA5">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DÉCIMA SEGUND</w:t>
      </w:r>
      <w:r w:rsidR="00B870AB">
        <w:rPr>
          <w:rFonts w:ascii="Arial" w:eastAsia="Arial" w:hAnsi="Arial" w:cs="Arial"/>
          <w:b/>
          <w:bCs/>
          <w:color w:val="000000"/>
        </w:rPr>
        <w:t xml:space="preserve">A. </w:t>
      </w:r>
      <w:r w:rsidR="00B870AB">
        <w:rPr>
          <w:rFonts w:ascii="Arial" w:eastAsia="Arial" w:hAnsi="Arial" w:cs="Arial"/>
          <w:color w:val="000000"/>
        </w:rPr>
        <w:t>En el mismo orden de ideas, reconocer la diversidad de las juventudes implica asumir que este sector de la población no es homogéneo, sino plural y dinámico. Las experiencias, identidades, condiciones socioeconómicas, culturales y territoriales de las juventudes en Yucatán configuran una multiplicidad de realidades que deben reflejarse en las políticas públicas y en el propio lenguaje legislativo. Reducir esta complejidad a una noción única de “juventud” invisibiliza las diferencias que definen las formas de participación, aspiraciones y desafíos de quienes integran este grupo social, contraviniendo la obligación del Estado de garantizar la igualdad sustantiva y la no discriminación.</w:t>
      </w:r>
    </w:p>
    <w:p w14:paraId="66497DD3"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este sentido, el Congreso del Estado de Yucatán se encuentra facultado y comprometido, conforme al artículo 1º de la Constitución Política de los Estados Unidos Mexicanos y a los tratados internacionales en materia de derechos humanos, a armonizar su marco normativo con los principios de universalidad, interdependencia y progresividad. A ello se suma la necesidad de adecuar su estructura y denominaciones institucionales al nuevo diseño administrativo del Estado, derivado de las reformas recientes en materia de juventudes. Así, la actualización de la denominación de “Juventud, Cultura Física y Deportes”</w:t>
      </w:r>
      <w:r>
        <w:rPr>
          <w:rFonts w:ascii="Arial" w:eastAsia="Arial" w:hAnsi="Arial" w:cs="Arial"/>
          <w:b/>
          <w:bCs/>
        </w:rPr>
        <w:t xml:space="preserve"> </w:t>
      </w:r>
      <w:r>
        <w:rPr>
          <w:rFonts w:ascii="Arial" w:eastAsia="Arial" w:hAnsi="Arial" w:cs="Arial"/>
        </w:rPr>
        <w:t>a la</w:t>
      </w:r>
      <w:r>
        <w:rPr>
          <w:rFonts w:ascii="Arial" w:eastAsia="Arial" w:hAnsi="Arial" w:cs="Arial"/>
          <w:b/>
          <w:bCs/>
        </w:rPr>
        <w:t xml:space="preserve"> Comisión Permanente de Juventudes, Cultura Física y Deportes”</w:t>
      </w:r>
      <w:r>
        <w:rPr>
          <w:rFonts w:ascii="Arial" w:eastAsia="Arial" w:hAnsi="Arial" w:cs="Arial"/>
        </w:rPr>
        <w:t xml:space="preserve"> se enmarca dentro del deber legislativo de adoptar un lenguaje normativo incluyente y representativo, acorde con las transformaciones jurídicas y sociales que impulsan un reconocimiento más amplio de las juventudes como sujetos de derechos.</w:t>
      </w:r>
    </w:p>
    <w:p w14:paraId="2C6CE5BA"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 xml:space="preserve">Este propósito encuentra respaldo en el </w:t>
      </w:r>
      <w:r>
        <w:rPr>
          <w:rFonts w:ascii="Arial" w:eastAsia="Arial" w:hAnsi="Arial" w:cs="Arial"/>
          <w:b/>
          <w:bCs/>
        </w:rPr>
        <w:t>Decreto 19/2024</w:t>
      </w:r>
      <w:r>
        <w:rPr>
          <w:rFonts w:ascii="Arial" w:eastAsia="Arial" w:hAnsi="Arial" w:cs="Arial"/>
        </w:rPr>
        <w:t xml:space="preserve">, publicado el 3 de diciembre de 2024 en el </w:t>
      </w:r>
      <w:r>
        <w:rPr>
          <w:rFonts w:ascii="Arial" w:eastAsia="Arial" w:hAnsi="Arial" w:cs="Arial"/>
          <w:i/>
          <w:iCs/>
        </w:rPr>
        <w:t>Diario Oficial del Gobierno del Estado de Yucatán</w:t>
      </w:r>
      <w:r>
        <w:rPr>
          <w:rFonts w:ascii="Arial" w:eastAsia="Arial" w:hAnsi="Arial" w:cs="Arial"/>
        </w:rPr>
        <w:t>, mediante el cual se reformó el Código de la Administración Pública del Estado para crear la Secretaría de las Juventudes. Dicha institución tiene la encomienda de diseñar e implementar políticas públicas con enfoque diferenciado, inclusivo y participativo, respondiendo a la pluralidad de contextos y necesidades juveniles en la entidad. La existencia de esta Secretaría consolida un marco institucional que reconoce las juventudes no como beneficiarias pasivas, sino como agentes activos de transformación social y democrática.</w:t>
      </w:r>
    </w:p>
    <w:p w14:paraId="68B5D919"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En consecuencia, la modificación propuesta constituye una acción legislativa coherente con los principios constitucionales y con la nueva arquitectura institucional del Estado. Con ello, esta Legislatura reafirma su compromiso de legislar con perspectiva de diversidad, inclusión y derechos humanos, fortaleciendo su papel como garante de un lenguaje y una práctica parlamentaria que reflejen la realidad plural de las juventudes yucatecas y promuevan su participación plena en la vida democrática.</w:t>
      </w:r>
    </w:p>
    <w:p w14:paraId="23568DB1" w14:textId="77777777" w:rsidR="001D5002" w:rsidRDefault="00AB3FA5">
      <w:pPr>
        <w:spacing w:before="280" w:after="280" w:line="360" w:lineRule="auto"/>
        <w:jc w:val="both"/>
        <w:rPr>
          <w:rFonts w:ascii="Arial" w:eastAsia="Arial" w:hAnsi="Arial" w:cs="Arial"/>
        </w:rPr>
      </w:pPr>
      <w:r>
        <w:rPr>
          <w:rFonts w:ascii="Arial" w:eastAsia="Arial" w:hAnsi="Arial" w:cs="Arial"/>
          <w:b/>
          <w:bCs/>
        </w:rPr>
        <w:t>DÉCIMA TERCER</w:t>
      </w:r>
      <w:r w:rsidR="00B870AB">
        <w:rPr>
          <w:rFonts w:ascii="Arial" w:eastAsia="Arial" w:hAnsi="Arial" w:cs="Arial"/>
          <w:b/>
          <w:bCs/>
        </w:rPr>
        <w:t>A.</w:t>
      </w:r>
      <w:r w:rsidR="00B870AB">
        <w:rPr>
          <w:rFonts w:ascii="Arial" w:eastAsia="Arial" w:hAnsi="Arial" w:cs="Arial"/>
        </w:rPr>
        <w:t xml:space="preserve"> En mérito de lo expuesto, esta Comisión estima que el conjunto de reformas propuestas se ajusta plenamente al marco constitucional y reglamentario aplicable, y responde de manera integral a los principios de economía procesal, seguridad jurídica, deliberación democrática, inclusión y progresividad de derechos que rigen la función legislativa.</w:t>
      </w:r>
    </w:p>
    <w:p w14:paraId="4A869192" w14:textId="77777777" w:rsidR="001D5002" w:rsidRDefault="00B870AB" w:rsidP="00AB3FA5">
      <w:pPr>
        <w:spacing w:before="280" w:after="280" w:line="360" w:lineRule="auto"/>
        <w:ind w:firstLine="708"/>
        <w:jc w:val="both"/>
        <w:rPr>
          <w:rFonts w:ascii="Arial" w:eastAsia="Arial" w:hAnsi="Arial" w:cs="Arial"/>
        </w:rPr>
      </w:pPr>
      <w:r>
        <w:rPr>
          <w:rFonts w:ascii="Arial" w:eastAsia="Arial" w:hAnsi="Arial" w:cs="Arial"/>
        </w:rPr>
        <w:t xml:space="preserve">En específico: </w:t>
      </w:r>
      <w:r>
        <w:rPr>
          <w:rFonts w:ascii="Arial" w:eastAsia="Arial" w:hAnsi="Arial" w:cs="Arial"/>
          <w:b/>
          <w:bCs/>
        </w:rPr>
        <w:t>(I)</w:t>
      </w:r>
      <w:r>
        <w:rPr>
          <w:rFonts w:ascii="Arial" w:eastAsia="Arial" w:hAnsi="Arial" w:cs="Arial"/>
        </w:rPr>
        <w:t xml:space="preserve"> se suprime, como regla general, la dictaminación en comisión de las minutas federales de reforma constitucional, trasladando el debate al Pleno con votación nominal y máxima publicidad, sin perjuicio de su tratamiento</w:t>
      </w:r>
      <w:r>
        <w:rPr>
          <w:rFonts w:ascii="Arial" w:eastAsia="Arial" w:hAnsi="Arial" w:cs="Arial"/>
          <w:b/>
          <w:bCs/>
        </w:rPr>
        <w:t xml:space="preserve"> </w:t>
      </w:r>
      <w:r>
        <w:rPr>
          <w:rFonts w:ascii="Arial" w:eastAsia="Arial" w:hAnsi="Arial" w:cs="Arial"/>
        </w:rPr>
        <w:t xml:space="preserve">excepcional cuando así lo acuerde la Presidencia de la Mesa Directiva, atendiendo a la rigidez del procedimiento del artículo 135 constitucional y a la naturaleza meramente aprobatoria o desaprobatoria de dichas minutas; </w:t>
      </w:r>
      <w:r>
        <w:rPr>
          <w:rFonts w:ascii="Arial" w:eastAsia="Arial" w:hAnsi="Arial" w:cs="Arial"/>
          <w:b/>
          <w:bCs/>
        </w:rPr>
        <w:t>(II)</w:t>
      </w:r>
      <w:r>
        <w:rPr>
          <w:rFonts w:ascii="Arial" w:eastAsia="Arial" w:hAnsi="Arial" w:cs="Arial"/>
        </w:rPr>
        <w:t xml:space="preserve"> se deroga el artículo 95 Ter por antinomia y se preserva el procedimiento simple, claro y eficaz del artículo 89, fracción</w:t>
      </w:r>
      <w:r>
        <w:rPr>
          <w:rFonts w:ascii="Arial" w:eastAsia="Arial" w:hAnsi="Arial" w:cs="Arial"/>
          <w:b/>
          <w:bCs/>
        </w:rPr>
        <w:t xml:space="preserve"> </w:t>
      </w:r>
      <w:r>
        <w:rPr>
          <w:rFonts w:ascii="Arial" w:eastAsia="Arial" w:hAnsi="Arial" w:cs="Arial"/>
        </w:rPr>
        <w:t xml:space="preserve">IV, para la moción suspensiva, restableciendo la coherencia normativa del Reglamento; </w:t>
      </w:r>
      <w:r>
        <w:rPr>
          <w:rFonts w:ascii="Arial" w:eastAsia="Arial" w:hAnsi="Arial" w:cs="Arial"/>
          <w:b/>
          <w:bCs/>
        </w:rPr>
        <w:t>(III)</w:t>
      </w:r>
      <w:r>
        <w:rPr>
          <w:rFonts w:ascii="Arial" w:eastAsia="Arial" w:hAnsi="Arial" w:cs="Arial"/>
        </w:rPr>
        <w:t xml:space="preserve"> se elimina la lectura obligatoria en el Pleno de iniciativas y acuerdos, por constituir un formalismo ineficiente frente a la práctica constante de dispensas, manteniendo intactos los mecanismos de registro, difusión y transparencia; </w:t>
      </w:r>
      <w:r>
        <w:rPr>
          <w:rFonts w:ascii="Arial" w:eastAsia="Arial" w:hAnsi="Arial" w:cs="Arial"/>
          <w:b/>
          <w:bCs/>
        </w:rPr>
        <w:t>(IV)</w:t>
      </w:r>
      <w:r>
        <w:rPr>
          <w:rFonts w:ascii="Arial" w:eastAsia="Arial" w:hAnsi="Arial" w:cs="Arial"/>
        </w:rPr>
        <w:t xml:space="preserve"> se amplían los tiempos de intervención para la presentación de iniciativas y acuerdos, medida proporcional que fortalece la calidad del debate y la equidad deliberativa, en sintonía con la doctrina y criterios que exigen deliberación sustantiva; </w:t>
      </w:r>
      <w:r>
        <w:rPr>
          <w:rFonts w:ascii="Arial" w:eastAsia="Arial" w:hAnsi="Arial" w:cs="Arial"/>
          <w:b/>
          <w:bCs/>
        </w:rPr>
        <w:t>(V)</w:t>
      </w:r>
      <w:r>
        <w:rPr>
          <w:rFonts w:ascii="Arial" w:eastAsia="Arial" w:hAnsi="Arial" w:cs="Arial"/>
        </w:rPr>
        <w:t xml:space="preserve"> se reconoce la práctica parlamentaria como instrumento auxiliar de conducción (adición del artículo 98 Bis), acotada a ordenar el debate sin alterar votaciones, plazos o requisitos legales, garantizando legalidad, imparcialidad y buena fe; </w:t>
      </w:r>
      <w:r>
        <w:rPr>
          <w:rFonts w:ascii="Arial" w:eastAsia="Arial" w:hAnsi="Arial" w:cs="Arial"/>
          <w:b/>
          <w:bCs/>
        </w:rPr>
        <w:t>(VI)</w:t>
      </w:r>
      <w:r>
        <w:rPr>
          <w:rFonts w:ascii="Arial" w:eastAsia="Arial" w:hAnsi="Arial" w:cs="Arial"/>
        </w:rPr>
        <w:t xml:space="preserve"> se actualizan denominaciones de las Comisiones Permanentes y lenguaje institucional de las mismas para visibilizar y reconocer la diversidad cultural de los pueblos y comunidades maya, indígenas y afromexicanas y la diversidad de las juventudes, armonizando el marco interno con los principios constitucionales de igualdad y no discriminación; </w:t>
      </w:r>
      <w:r>
        <w:rPr>
          <w:rFonts w:ascii="Arial" w:eastAsia="Arial" w:hAnsi="Arial" w:cs="Arial"/>
          <w:b/>
          <w:bCs/>
        </w:rPr>
        <w:t>(VII)</w:t>
      </w:r>
      <w:r>
        <w:rPr>
          <w:rFonts w:ascii="Arial" w:eastAsia="Arial" w:hAnsi="Arial" w:cs="Arial"/>
        </w:rPr>
        <w:t xml:space="preserve"> se reconoce a la Contraloría Interna como la Autoridad Garante en materia de transparencia y acceso a la información pública de conformidad con el marco general, y </w:t>
      </w:r>
      <w:r>
        <w:rPr>
          <w:rFonts w:ascii="Arial" w:eastAsia="Arial" w:hAnsi="Arial" w:cs="Arial"/>
          <w:b/>
          <w:bCs/>
        </w:rPr>
        <w:t>(VIII)</w:t>
      </w:r>
      <w:r>
        <w:rPr>
          <w:rFonts w:ascii="Arial" w:eastAsia="Arial" w:hAnsi="Arial" w:cs="Arial"/>
        </w:rPr>
        <w:t xml:space="preserve"> </w:t>
      </w:r>
      <w:r w:rsidR="00AB3FA5" w:rsidRPr="00AB3FA5">
        <w:rPr>
          <w:rFonts w:ascii="Arial" w:eastAsia="Arial" w:hAnsi="Arial" w:cs="Arial"/>
        </w:rPr>
        <w:t>y se precisan funciones administrativas de la Junta de Gobierno y Coordinación Política, incluyendo reglamentos internos, manuales y catálogos de sueldos</w:t>
      </w:r>
      <w:r w:rsidR="00AB3FA5">
        <w:rPr>
          <w:rFonts w:ascii="Arial" w:eastAsia="Arial" w:hAnsi="Arial" w:cs="Arial"/>
        </w:rPr>
        <w:t>.</w:t>
      </w:r>
    </w:p>
    <w:p w14:paraId="278B78D0"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Estas reformas, en su conjunto, modernizan y racionalizan el procedimiento parlamentario, fortalecen la eficacia institucional del Congreso, garantizan la equidad representativa entre las fuerzas políticas y reafirman la centralidad del Pleno como espacio natural de deliberación democrática. Al mismo tiempo, actualizan el lenguaje y las estructuras internas del Poder Legislativo en congruencia con los principios constitucionales de igualdad, inclusión y pluralidad, razones por las cuales las personas integrantes de esta Comisión Permanente consideramos procedente su aprobación.</w:t>
      </w:r>
    </w:p>
    <w:p w14:paraId="2CA6972F" w14:textId="77777777" w:rsidR="001D5002" w:rsidRDefault="00B870AB">
      <w:pPr>
        <w:spacing w:before="280" w:after="280" w:line="360" w:lineRule="auto"/>
        <w:ind w:firstLine="708"/>
        <w:jc w:val="both"/>
        <w:rPr>
          <w:rFonts w:ascii="Arial" w:eastAsia="Arial" w:hAnsi="Arial" w:cs="Arial"/>
        </w:rPr>
      </w:pPr>
      <w:r>
        <w:rPr>
          <w:rFonts w:ascii="Arial" w:eastAsia="Arial" w:hAnsi="Arial" w:cs="Arial"/>
        </w:rPr>
        <w:t>Por lo que, con fundamento en los artículos 29 y 30 fracción V de la Constitución Política; artículos 18, 43 fracción I, inciso a y el inciso i), artículo 44 fracción IV de la Ley de Gobierno del Poder Legislativo y 71 fracción II del Reglamento de la Ley de Gobierno del Poder Legislativo, todos del Estado de Yucatán, sometemos a consideración del Pleno del H. Congreso del Estado de Yucatán, el siguiente proyecto de:</w:t>
      </w:r>
    </w:p>
    <w:p w14:paraId="0E02B4D4" w14:textId="77777777" w:rsidR="001D5002" w:rsidRDefault="001D5002">
      <w:pPr>
        <w:spacing w:before="280" w:after="280" w:line="360" w:lineRule="auto"/>
        <w:ind w:firstLine="708"/>
        <w:jc w:val="both"/>
        <w:rPr>
          <w:rFonts w:ascii="Arial" w:eastAsia="Arial" w:hAnsi="Arial" w:cs="Arial"/>
        </w:rPr>
      </w:pPr>
    </w:p>
    <w:p w14:paraId="18DFD8D3" w14:textId="77777777" w:rsidR="001D5002" w:rsidRDefault="00B870AB" w:rsidP="00AB3FA5">
      <w:pPr>
        <w:spacing w:before="280" w:after="280" w:line="360" w:lineRule="auto"/>
        <w:jc w:val="center"/>
        <w:rPr>
          <w:rFonts w:ascii="Arial" w:eastAsia="Arial" w:hAnsi="Arial" w:cs="Arial"/>
          <w:color w:val="000000"/>
        </w:rPr>
      </w:pPr>
      <w:r>
        <w:rPr>
          <w:rFonts w:ascii="Arial" w:eastAsia="Arial" w:hAnsi="Arial" w:cs="Arial"/>
          <w:b/>
          <w:bCs/>
        </w:rPr>
        <w:t>D E C R E T O</w:t>
      </w:r>
    </w:p>
    <w:p w14:paraId="5E8DC5C8" w14:textId="77777777" w:rsidR="001D5002" w:rsidRDefault="001D5002">
      <w:pPr>
        <w:jc w:val="center"/>
        <w:rPr>
          <w:rFonts w:ascii="Arial" w:eastAsia="Arial" w:hAnsi="Arial" w:cs="Arial"/>
        </w:rPr>
      </w:pPr>
    </w:p>
    <w:p w14:paraId="7FE96D28" w14:textId="77777777" w:rsidR="001D5002" w:rsidRDefault="00B870AB">
      <w:pPr>
        <w:jc w:val="both"/>
        <w:rPr>
          <w:rFonts w:ascii="Arial" w:eastAsia="Arial" w:hAnsi="Arial" w:cs="Arial"/>
        </w:rPr>
      </w:pPr>
      <w:r>
        <w:rPr>
          <w:rFonts w:ascii="Arial" w:eastAsia="Arial" w:hAnsi="Arial" w:cs="Arial"/>
          <w:b/>
          <w:bCs/>
        </w:rPr>
        <w:t>Por el que se reforman, adicionan y derogan diversas disposiciones de la Ley de Gobierno del Poder Legislativo y el Reglamento de la Ley de Gobierno del Poder Legislativo, ambos del estado de Yucatán, en materia de economía procesal e inclusión normativa.</w:t>
      </w:r>
    </w:p>
    <w:p w14:paraId="390DA020" w14:textId="77777777" w:rsidR="001D5002" w:rsidRDefault="001D5002">
      <w:pPr>
        <w:spacing w:line="360" w:lineRule="auto"/>
        <w:rPr>
          <w:rFonts w:ascii="Arial" w:eastAsia="Arial" w:hAnsi="Arial" w:cs="Arial"/>
        </w:rPr>
      </w:pPr>
    </w:p>
    <w:p w14:paraId="5AC4CA8F" w14:textId="39EDFB19" w:rsidR="001D5002" w:rsidRDefault="00EF5E3E">
      <w:pPr>
        <w:spacing w:line="360" w:lineRule="auto"/>
        <w:jc w:val="both"/>
        <w:rPr>
          <w:rFonts w:ascii="Arial" w:eastAsia="Arial" w:hAnsi="Arial" w:cs="Arial"/>
        </w:rPr>
      </w:pPr>
      <w:r>
        <w:rPr>
          <w:rFonts w:ascii="Arial" w:eastAsia="Arial" w:hAnsi="Arial" w:cs="Arial"/>
          <w:b/>
          <w:bCs/>
        </w:rPr>
        <w:t xml:space="preserve">Artículo primero.- </w:t>
      </w:r>
      <w:r w:rsidRPr="00EF5E3E">
        <w:rPr>
          <w:rFonts w:ascii="Arial" w:eastAsia="Arial" w:hAnsi="Arial" w:cs="Arial"/>
        </w:rPr>
        <w:t>Se adiciona el artículo 17 Ter, se reforman las fracciones XXI, XXII y se adiciona la fracción XXIII del artículo 34; se reforman</w:t>
      </w:r>
      <w:r w:rsidR="00856EE2">
        <w:rPr>
          <w:rFonts w:ascii="Arial" w:eastAsia="Arial" w:hAnsi="Arial" w:cs="Arial"/>
        </w:rPr>
        <w:t xml:space="preserve"> las fracciones I en su inciso a</w:t>
      </w:r>
      <w:r w:rsidRPr="00EF5E3E">
        <w:rPr>
          <w:rFonts w:ascii="Arial" w:eastAsia="Arial" w:hAnsi="Arial" w:cs="Arial"/>
        </w:rPr>
        <w:t>, XIII y XVI en sus incisos e y f, del artículo 43; se adiciona la fracción XII al artículo 44; se reforman las fracc</w:t>
      </w:r>
      <w:r w:rsidR="00AB3FA5">
        <w:rPr>
          <w:rFonts w:ascii="Arial" w:eastAsia="Arial" w:hAnsi="Arial" w:cs="Arial"/>
        </w:rPr>
        <w:t>iones VIII y XV del artículo 61</w:t>
      </w:r>
      <w:r w:rsidRPr="00EF5E3E">
        <w:rPr>
          <w:rFonts w:ascii="Arial" w:eastAsia="Arial" w:hAnsi="Arial" w:cs="Arial"/>
        </w:rPr>
        <w:t>; se reforman las fracciones XXI, XXII y se adiciona la fracción XXIII del artículo 75 quáter, todos de la Ley de Gobierno del Poder Legislativo del Estado de Yucatán; para quedar como sigue:</w:t>
      </w:r>
    </w:p>
    <w:p w14:paraId="4A9BAF1C" w14:textId="77777777" w:rsidR="00AB3FA5" w:rsidRDefault="00AB3FA5">
      <w:pPr>
        <w:spacing w:line="360" w:lineRule="auto"/>
        <w:jc w:val="both"/>
        <w:rPr>
          <w:rFonts w:ascii="Arial" w:eastAsia="Arial" w:hAnsi="Arial" w:cs="Arial"/>
        </w:rPr>
      </w:pPr>
    </w:p>
    <w:p w14:paraId="519992DF" w14:textId="77777777" w:rsidR="001D5002" w:rsidRDefault="001D5002">
      <w:pPr>
        <w:spacing w:line="360" w:lineRule="auto"/>
        <w:rPr>
          <w:rFonts w:ascii="Arial" w:eastAsia="Arial" w:hAnsi="Arial" w:cs="Arial"/>
        </w:rPr>
      </w:pPr>
    </w:p>
    <w:p w14:paraId="0BA45CB7" w14:textId="77777777" w:rsidR="001D5002" w:rsidRDefault="00B870AB">
      <w:pPr>
        <w:spacing w:line="360" w:lineRule="auto"/>
        <w:jc w:val="both"/>
        <w:rPr>
          <w:rFonts w:ascii="Arial" w:eastAsia="Arial" w:hAnsi="Arial" w:cs="Arial"/>
        </w:rPr>
      </w:pPr>
      <w:r>
        <w:rPr>
          <w:rFonts w:ascii="Arial" w:eastAsia="Arial" w:hAnsi="Arial" w:cs="Arial"/>
          <w:b/>
          <w:bCs/>
        </w:rPr>
        <w:t xml:space="preserve">Artículo 17 Ter. - Las minutas de reforma a la Constitución Política de los Estados Unidos Mexicanos remitidas por las Cámaras, de Diputados o, de Senadores del Honorable Congreso de la Unión en términos de lo previsto en el artículo 135 de la propia Constitución General, sin más trámite que su lectura, se someterán a discusión y votación del Pleno en la sesión que para tal fin determine la presidencia de la Mesa Directiva. </w:t>
      </w:r>
    </w:p>
    <w:p w14:paraId="3B859AF1" w14:textId="77777777" w:rsidR="001D5002" w:rsidRDefault="001D5002">
      <w:pPr>
        <w:spacing w:line="360" w:lineRule="auto"/>
        <w:jc w:val="both"/>
        <w:rPr>
          <w:rFonts w:ascii="Arial" w:eastAsia="Arial" w:hAnsi="Arial" w:cs="Arial"/>
        </w:rPr>
      </w:pPr>
    </w:p>
    <w:p w14:paraId="0F95EDD0" w14:textId="77777777" w:rsidR="001D5002" w:rsidRPr="003F4EF1" w:rsidRDefault="00B870AB">
      <w:pPr>
        <w:spacing w:line="360" w:lineRule="auto"/>
        <w:ind w:firstLine="708"/>
        <w:jc w:val="both"/>
        <w:rPr>
          <w:rFonts w:ascii="Arial" w:eastAsia="Arial" w:hAnsi="Arial" w:cs="Arial"/>
        </w:rPr>
      </w:pPr>
      <w:r>
        <w:rPr>
          <w:rFonts w:ascii="Arial" w:eastAsia="Arial" w:hAnsi="Arial" w:cs="Arial"/>
          <w:b/>
          <w:bCs/>
        </w:rPr>
        <w:t xml:space="preserve">Se exceptúa de lo anterior, cuando a consideración de la Presidencia de la Mesa Directiva y por la trascendencia de la reforma se deba turnar a la Comisión Permanente de Puntos Constitucionales y Gobernación para su </w:t>
      </w:r>
      <w:r w:rsidRPr="003F4EF1">
        <w:rPr>
          <w:rFonts w:ascii="Arial" w:eastAsia="Arial" w:hAnsi="Arial" w:cs="Arial"/>
          <w:b/>
          <w:bCs/>
        </w:rPr>
        <w:t xml:space="preserve">dictaminación. </w:t>
      </w:r>
    </w:p>
    <w:p w14:paraId="05D10B60" w14:textId="77777777" w:rsidR="001D5002" w:rsidRPr="003F4EF1" w:rsidRDefault="001D5002">
      <w:pPr>
        <w:spacing w:line="360" w:lineRule="auto"/>
        <w:ind w:firstLine="708"/>
        <w:jc w:val="both"/>
        <w:rPr>
          <w:rFonts w:ascii="Arial" w:eastAsia="Arial" w:hAnsi="Arial" w:cs="Arial"/>
        </w:rPr>
      </w:pPr>
    </w:p>
    <w:p w14:paraId="3FAE07F0" w14:textId="77777777" w:rsidR="001D5002" w:rsidRPr="003F4EF1" w:rsidRDefault="00B870AB">
      <w:pPr>
        <w:spacing w:line="360" w:lineRule="auto"/>
        <w:jc w:val="both"/>
        <w:rPr>
          <w:rFonts w:ascii="Arial" w:eastAsia="Arial" w:hAnsi="Arial" w:cs="Arial"/>
        </w:rPr>
      </w:pPr>
      <w:r w:rsidRPr="003F4EF1">
        <w:rPr>
          <w:rFonts w:ascii="Arial" w:eastAsia="Arial" w:hAnsi="Arial" w:cs="Arial"/>
          <w:b/>
          <w:bCs/>
        </w:rPr>
        <w:t>Artículo 34.-</w:t>
      </w:r>
      <w:r w:rsidRPr="003F4EF1">
        <w:rPr>
          <w:rFonts w:ascii="Arial" w:eastAsia="Arial" w:hAnsi="Arial" w:cs="Arial"/>
        </w:rPr>
        <w:t xml:space="preserve"> …</w:t>
      </w:r>
    </w:p>
    <w:p w14:paraId="12736685" w14:textId="77777777" w:rsidR="001D5002" w:rsidRPr="003F4EF1" w:rsidRDefault="001D5002">
      <w:pPr>
        <w:jc w:val="both"/>
        <w:rPr>
          <w:rFonts w:ascii="Arial" w:eastAsia="Arial" w:hAnsi="Arial" w:cs="Arial"/>
        </w:rPr>
      </w:pPr>
    </w:p>
    <w:p w14:paraId="7030B81B" w14:textId="77777777" w:rsidR="001D5002" w:rsidRPr="003F4EF1" w:rsidRDefault="001D5002">
      <w:pPr>
        <w:spacing w:line="360" w:lineRule="auto"/>
        <w:ind w:firstLine="426"/>
        <w:jc w:val="both"/>
        <w:rPr>
          <w:rFonts w:ascii="Arial" w:eastAsia="Arial" w:hAnsi="Arial" w:cs="Arial"/>
        </w:rPr>
      </w:pPr>
    </w:p>
    <w:p w14:paraId="1813E211" w14:textId="77777777" w:rsidR="001D5002" w:rsidRDefault="00B870AB">
      <w:pPr>
        <w:spacing w:line="360" w:lineRule="auto"/>
        <w:ind w:firstLine="426"/>
        <w:jc w:val="both"/>
        <w:rPr>
          <w:rFonts w:ascii="Arial" w:eastAsia="Arial" w:hAnsi="Arial" w:cs="Arial"/>
        </w:rPr>
      </w:pPr>
      <w:r w:rsidRPr="003F4EF1">
        <w:rPr>
          <w:rFonts w:ascii="Arial" w:eastAsia="Arial" w:hAnsi="Arial" w:cs="Arial"/>
          <w:b/>
          <w:bCs/>
        </w:rPr>
        <w:t>I</w:t>
      </w:r>
      <w:r w:rsidR="00AB3FA5">
        <w:rPr>
          <w:rFonts w:ascii="Arial" w:eastAsia="Arial" w:hAnsi="Arial" w:cs="Arial"/>
          <w:b/>
          <w:bCs/>
        </w:rPr>
        <w:t>.</w:t>
      </w:r>
      <w:r w:rsidRPr="003F4EF1">
        <w:rPr>
          <w:rFonts w:ascii="Arial" w:eastAsia="Arial" w:hAnsi="Arial" w:cs="Arial"/>
          <w:b/>
          <w:bCs/>
        </w:rPr>
        <w:t xml:space="preserve"> a la XX. …</w:t>
      </w:r>
      <w:r>
        <w:rPr>
          <w:rFonts w:ascii="Arial" w:eastAsia="Arial" w:hAnsi="Arial" w:cs="Arial"/>
          <w:b/>
          <w:bCs/>
        </w:rPr>
        <w:t xml:space="preserve"> </w:t>
      </w:r>
    </w:p>
    <w:p w14:paraId="4DD45C33" w14:textId="77777777" w:rsidR="001D5002" w:rsidRDefault="001D5002">
      <w:pPr>
        <w:spacing w:line="360" w:lineRule="auto"/>
        <w:ind w:firstLine="426"/>
        <w:jc w:val="both"/>
        <w:rPr>
          <w:rFonts w:ascii="Arial" w:eastAsia="Arial" w:hAnsi="Arial" w:cs="Arial"/>
        </w:rPr>
      </w:pPr>
    </w:p>
    <w:p w14:paraId="66E1E8F1" w14:textId="77777777" w:rsidR="001D5002" w:rsidRPr="003F4EF1" w:rsidRDefault="00B870AB">
      <w:pPr>
        <w:spacing w:line="360" w:lineRule="auto"/>
        <w:ind w:firstLine="426"/>
        <w:jc w:val="both"/>
        <w:rPr>
          <w:rFonts w:ascii="Arial" w:eastAsia="Arial" w:hAnsi="Arial" w:cs="Arial"/>
        </w:rPr>
      </w:pPr>
      <w:r>
        <w:rPr>
          <w:rFonts w:ascii="Arial" w:eastAsia="Arial" w:hAnsi="Arial" w:cs="Arial"/>
          <w:b/>
          <w:bCs/>
        </w:rPr>
        <w:t>XXI.-</w:t>
      </w:r>
      <w:r>
        <w:rPr>
          <w:rFonts w:ascii="Arial" w:eastAsia="Arial" w:hAnsi="Arial" w:cs="Arial"/>
        </w:rPr>
        <w:t xml:space="preserve"> Declarar recesos durante la Sesión Plenaria, a fin de recabar opiniones, promover acuerdos o procurar condiciones que permitan el adecuado desahogo del </w:t>
      </w:r>
      <w:r w:rsidRPr="003F4EF1">
        <w:rPr>
          <w:rFonts w:ascii="Arial" w:eastAsia="Arial" w:hAnsi="Arial" w:cs="Arial"/>
        </w:rPr>
        <w:t>orden del día</w:t>
      </w:r>
      <w:r w:rsidRPr="003F4EF1">
        <w:rPr>
          <w:rFonts w:ascii="Arial" w:eastAsia="Arial" w:hAnsi="Arial" w:cs="Arial"/>
          <w:b/>
          <w:bCs/>
        </w:rPr>
        <w:t>;</w:t>
      </w:r>
    </w:p>
    <w:p w14:paraId="03B24C48" w14:textId="77777777" w:rsidR="001D5002" w:rsidRPr="003F4EF1" w:rsidRDefault="001D5002">
      <w:pPr>
        <w:spacing w:line="360" w:lineRule="auto"/>
        <w:ind w:firstLine="426"/>
        <w:jc w:val="both"/>
        <w:rPr>
          <w:rFonts w:ascii="Arial" w:eastAsia="Arial" w:hAnsi="Arial" w:cs="Arial"/>
        </w:rPr>
      </w:pPr>
    </w:p>
    <w:p w14:paraId="6A251AC1" w14:textId="77777777" w:rsidR="001D5002" w:rsidRDefault="00B870AB">
      <w:pPr>
        <w:spacing w:line="360" w:lineRule="auto"/>
        <w:ind w:firstLine="426"/>
        <w:jc w:val="both"/>
        <w:rPr>
          <w:rFonts w:ascii="Arial" w:eastAsia="Arial" w:hAnsi="Arial" w:cs="Arial"/>
        </w:rPr>
      </w:pPr>
      <w:r w:rsidRPr="003F4EF1">
        <w:rPr>
          <w:rFonts w:ascii="Arial" w:eastAsia="Arial" w:hAnsi="Arial" w:cs="Arial"/>
          <w:b/>
          <w:bCs/>
        </w:rPr>
        <w:t>XXII.- Ordenar el cambio de Sede del Poder Legislativo para llevar a cabo una Sesión Ordinaria, Extraordinaria o Periodo Extraordinario cuando existan razones fundadas de riesgo a la integridad, por causas de fuerza mayor o por cualquier otra circunstancia que no permita garantizar la seguridad de las y los integrantes del Pleno de la Legislatura, y</w:t>
      </w:r>
    </w:p>
    <w:p w14:paraId="2C804B96" w14:textId="77777777" w:rsidR="001D5002" w:rsidRDefault="001D5002">
      <w:pPr>
        <w:spacing w:line="360" w:lineRule="auto"/>
        <w:ind w:firstLine="426"/>
        <w:jc w:val="both"/>
        <w:rPr>
          <w:rFonts w:ascii="Arial" w:eastAsia="Arial" w:hAnsi="Arial" w:cs="Arial"/>
        </w:rPr>
      </w:pPr>
    </w:p>
    <w:p w14:paraId="50E07B6E" w14:textId="77777777" w:rsidR="001D5002" w:rsidRDefault="00B870AB">
      <w:pPr>
        <w:spacing w:line="360" w:lineRule="auto"/>
        <w:ind w:firstLine="426"/>
        <w:jc w:val="both"/>
        <w:rPr>
          <w:rFonts w:ascii="Arial" w:eastAsia="Arial" w:hAnsi="Arial" w:cs="Arial"/>
        </w:rPr>
      </w:pPr>
      <w:r>
        <w:rPr>
          <w:rFonts w:ascii="Arial" w:eastAsia="Arial" w:hAnsi="Arial" w:cs="Arial"/>
          <w:b/>
          <w:bCs/>
        </w:rPr>
        <w:t>XXIII.-</w:t>
      </w:r>
      <w:r>
        <w:rPr>
          <w:rFonts w:ascii="Arial" w:eastAsia="Arial" w:hAnsi="Arial" w:cs="Arial"/>
        </w:rPr>
        <w:t xml:space="preserve"> Las demás que establezcan esta Ley y las disposiciones reglamentarias aplicables, que se consideren necesarias para el ejercicio de sus facultades y cumplimiento de sus obligaciones.</w:t>
      </w:r>
    </w:p>
    <w:p w14:paraId="4EEBFECE" w14:textId="77777777" w:rsidR="001D5002" w:rsidRDefault="001D5002">
      <w:pPr>
        <w:spacing w:line="360" w:lineRule="auto"/>
        <w:ind w:firstLine="708"/>
        <w:jc w:val="both"/>
        <w:rPr>
          <w:rFonts w:ascii="Arial" w:eastAsia="Arial" w:hAnsi="Arial" w:cs="Arial"/>
        </w:rPr>
      </w:pPr>
    </w:p>
    <w:p w14:paraId="4E9B087D" w14:textId="77777777" w:rsidR="001D5002" w:rsidRDefault="001D5002">
      <w:pPr>
        <w:spacing w:line="360" w:lineRule="auto"/>
        <w:jc w:val="both"/>
        <w:rPr>
          <w:rFonts w:ascii="Arial" w:eastAsia="Arial" w:hAnsi="Arial" w:cs="Arial"/>
          <w:color w:val="080808"/>
        </w:rPr>
      </w:pPr>
    </w:p>
    <w:p w14:paraId="2CA19394" w14:textId="77777777" w:rsidR="001D5002" w:rsidRDefault="00B870AB">
      <w:pPr>
        <w:spacing w:line="360" w:lineRule="auto"/>
        <w:jc w:val="both"/>
        <w:rPr>
          <w:rFonts w:ascii="Arial" w:eastAsia="Arial" w:hAnsi="Arial" w:cs="Arial"/>
          <w:color w:val="080808"/>
        </w:rPr>
      </w:pPr>
      <w:r>
        <w:rPr>
          <w:rFonts w:ascii="Arial" w:eastAsia="Arial" w:hAnsi="Arial" w:cs="Arial"/>
          <w:b/>
          <w:bCs/>
          <w:color w:val="080808"/>
        </w:rPr>
        <w:t>Artículo 43.-</w:t>
      </w:r>
      <w:r>
        <w:rPr>
          <w:rFonts w:ascii="Arial" w:eastAsia="Arial" w:hAnsi="Arial" w:cs="Arial"/>
          <w:color w:val="080808"/>
        </w:rPr>
        <w:t xml:space="preserve"> …</w:t>
      </w:r>
    </w:p>
    <w:p w14:paraId="4DA76B62" w14:textId="77777777" w:rsidR="001D5002" w:rsidRDefault="001D5002">
      <w:pPr>
        <w:spacing w:line="360" w:lineRule="auto"/>
        <w:jc w:val="both"/>
        <w:rPr>
          <w:rFonts w:ascii="Arial" w:eastAsia="Arial" w:hAnsi="Arial" w:cs="Arial"/>
          <w:color w:val="080808"/>
        </w:rPr>
      </w:pPr>
    </w:p>
    <w:p w14:paraId="2ACF678B" w14:textId="77777777" w:rsidR="001D5002" w:rsidRDefault="00B870AB">
      <w:pPr>
        <w:spacing w:line="360" w:lineRule="auto"/>
        <w:ind w:firstLine="426"/>
        <w:jc w:val="both"/>
        <w:rPr>
          <w:rFonts w:ascii="Arial" w:eastAsia="Arial" w:hAnsi="Arial" w:cs="Arial"/>
        </w:rPr>
      </w:pPr>
      <w:r>
        <w:rPr>
          <w:rFonts w:ascii="Arial" w:eastAsia="Arial" w:hAnsi="Arial" w:cs="Arial"/>
          <w:b/>
          <w:bCs/>
        </w:rPr>
        <w:t xml:space="preserve">I.- </w:t>
      </w:r>
      <w:r>
        <w:rPr>
          <w:rFonts w:ascii="Arial" w:eastAsia="Arial" w:hAnsi="Arial" w:cs="Arial"/>
        </w:rPr>
        <w:t>…</w:t>
      </w:r>
    </w:p>
    <w:p w14:paraId="71C40A46" w14:textId="77777777" w:rsidR="001D5002" w:rsidRDefault="001D5002">
      <w:pPr>
        <w:spacing w:line="360" w:lineRule="auto"/>
        <w:ind w:firstLine="426"/>
        <w:jc w:val="both"/>
        <w:rPr>
          <w:rFonts w:ascii="Arial" w:eastAsia="Arial" w:hAnsi="Arial" w:cs="Arial"/>
        </w:rPr>
      </w:pPr>
    </w:p>
    <w:p w14:paraId="6F61CB72" w14:textId="33A279B4" w:rsidR="001D5002" w:rsidRPr="00856EE2" w:rsidRDefault="00B870AB" w:rsidP="00856EE2">
      <w:pPr>
        <w:numPr>
          <w:ilvl w:val="0"/>
          <w:numId w:val="1"/>
        </w:numPr>
        <w:spacing w:line="360" w:lineRule="auto"/>
        <w:jc w:val="both"/>
        <w:rPr>
          <w:rFonts w:ascii="Arial" w:eastAsia="Arial" w:hAnsi="Arial" w:cs="Arial"/>
        </w:rPr>
      </w:pPr>
      <w:r w:rsidRPr="00856EE2">
        <w:rPr>
          <w:rFonts w:ascii="Arial" w:eastAsia="Arial" w:hAnsi="Arial" w:cs="Arial"/>
          <w:color w:val="000000"/>
        </w:rPr>
        <w:t xml:space="preserve">Las minutas de reforma a la Constitución Política de los Estados Unidos Mexicanos, </w:t>
      </w:r>
      <w:r w:rsidRPr="00856EE2">
        <w:rPr>
          <w:rFonts w:ascii="Arial" w:eastAsia="Arial" w:hAnsi="Arial" w:cs="Arial"/>
          <w:b/>
          <w:bCs/>
          <w:color w:val="000000"/>
        </w:rPr>
        <w:t>en términos de la excepción prevista en el artículo 17 Ter de esta ley</w:t>
      </w:r>
      <w:r w:rsidR="00856EE2" w:rsidRPr="00856EE2">
        <w:rPr>
          <w:rFonts w:ascii="Arial" w:eastAsia="Arial" w:hAnsi="Arial" w:cs="Arial"/>
          <w:bCs/>
          <w:color w:val="000000"/>
        </w:rPr>
        <w:t>, y la particular del Estado</w:t>
      </w:r>
      <w:r w:rsidRPr="00856EE2">
        <w:rPr>
          <w:rFonts w:ascii="Arial" w:eastAsia="Arial" w:hAnsi="Arial" w:cs="Arial"/>
          <w:bCs/>
          <w:color w:val="000000"/>
        </w:rPr>
        <w:t>;</w:t>
      </w:r>
    </w:p>
    <w:p w14:paraId="15C6D166" w14:textId="77777777" w:rsidR="001D5002" w:rsidRDefault="00B870AB">
      <w:pPr>
        <w:numPr>
          <w:ilvl w:val="0"/>
          <w:numId w:val="1"/>
        </w:numPr>
        <w:spacing w:line="360" w:lineRule="auto"/>
        <w:jc w:val="both"/>
        <w:rPr>
          <w:rFonts w:ascii="Arial" w:eastAsia="Arial" w:hAnsi="Arial" w:cs="Arial"/>
        </w:rPr>
      </w:pPr>
      <w:r>
        <w:rPr>
          <w:rFonts w:ascii="Arial" w:eastAsia="Arial" w:hAnsi="Arial" w:cs="Arial"/>
        </w:rPr>
        <w:t>al j) …</w:t>
      </w:r>
      <w:bookmarkStart w:id="0" w:name="_GoBack"/>
      <w:bookmarkEnd w:id="0"/>
    </w:p>
    <w:p w14:paraId="075BE8A3" w14:textId="77777777" w:rsidR="001D5002" w:rsidRDefault="001D5002">
      <w:pPr>
        <w:spacing w:line="360" w:lineRule="auto"/>
        <w:ind w:firstLine="426"/>
        <w:jc w:val="both"/>
        <w:rPr>
          <w:rFonts w:ascii="Arial" w:eastAsia="Arial" w:hAnsi="Arial" w:cs="Arial"/>
        </w:rPr>
      </w:pPr>
    </w:p>
    <w:p w14:paraId="6BF859A1" w14:textId="77777777" w:rsidR="001D5002" w:rsidRDefault="00B870AB">
      <w:pPr>
        <w:spacing w:line="360" w:lineRule="auto"/>
        <w:ind w:firstLine="426"/>
        <w:jc w:val="both"/>
        <w:rPr>
          <w:rFonts w:ascii="Arial" w:eastAsia="Arial" w:hAnsi="Arial" w:cs="Arial"/>
        </w:rPr>
      </w:pPr>
      <w:r>
        <w:rPr>
          <w:rFonts w:ascii="Arial" w:eastAsia="Arial" w:hAnsi="Arial" w:cs="Arial"/>
          <w:b/>
          <w:bCs/>
        </w:rPr>
        <w:t>II.</w:t>
      </w:r>
      <w:r>
        <w:rPr>
          <w:rFonts w:ascii="Arial" w:eastAsia="Arial" w:hAnsi="Arial" w:cs="Arial"/>
        </w:rPr>
        <w:t xml:space="preserve"> a la </w:t>
      </w:r>
      <w:r>
        <w:rPr>
          <w:rFonts w:ascii="Arial" w:eastAsia="Arial" w:hAnsi="Arial" w:cs="Arial"/>
          <w:b/>
          <w:bCs/>
        </w:rPr>
        <w:t xml:space="preserve">XII. </w:t>
      </w:r>
      <w:r>
        <w:rPr>
          <w:rFonts w:ascii="Arial" w:eastAsia="Arial" w:hAnsi="Arial" w:cs="Arial"/>
        </w:rPr>
        <w:t>…</w:t>
      </w:r>
    </w:p>
    <w:p w14:paraId="319359F8" w14:textId="77777777" w:rsidR="001D5002" w:rsidRDefault="001D5002">
      <w:pPr>
        <w:spacing w:line="360" w:lineRule="auto"/>
        <w:jc w:val="both"/>
        <w:rPr>
          <w:rFonts w:ascii="Arial" w:eastAsia="Arial" w:hAnsi="Arial" w:cs="Arial"/>
        </w:rPr>
      </w:pPr>
    </w:p>
    <w:p w14:paraId="7CEF48E5" w14:textId="77777777" w:rsidR="001D5002" w:rsidRDefault="00B870AB">
      <w:pPr>
        <w:spacing w:line="360" w:lineRule="auto"/>
        <w:ind w:firstLine="426"/>
        <w:jc w:val="both"/>
        <w:rPr>
          <w:rFonts w:ascii="Arial" w:eastAsia="Arial" w:hAnsi="Arial" w:cs="Arial"/>
        </w:rPr>
      </w:pPr>
      <w:r>
        <w:rPr>
          <w:rFonts w:ascii="Arial" w:eastAsia="Arial" w:hAnsi="Arial" w:cs="Arial"/>
          <w:b/>
          <w:bCs/>
        </w:rPr>
        <w:t>XIII.- DE LA PRESERVACIÓN DE LA CULTURA, IDENTIDAD Y VISIBILIDAD DEL PUEBLO MAYA, LOS PUEBLOS ORIGINARIOS Y COMUNIDADES AFROMEXICANAS</w:t>
      </w:r>
      <w:r>
        <w:rPr>
          <w:rFonts w:ascii="Arial" w:eastAsia="Arial" w:hAnsi="Arial" w:cs="Arial"/>
        </w:rPr>
        <w:t xml:space="preserve">. Tendrá por objeto estudiar, analizar y dictaminar, sobre los asuntos relacionados con el respeto de los derechos de las personas descendientes de </w:t>
      </w:r>
      <w:r>
        <w:rPr>
          <w:rFonts w:ascii="Arial" w:eastAsia="Arial" w:hAnsi="Arial" w:cs="Arial"/>
          <w:b/>
          <w:bCs/>
        </w:rPr>
        <w:t>los pueblos y comunidades mayas, los pueblos originarios y afromexicanas</w:t>
      </w:r>
      <w:r>
        <w:rPr>
          <w:rFonts w:ascii="Arial" w:eastAsia="Arial" w:hAnsi="Arial" w:cs="Arial"/>
        </w:rPr>
        <w:t xml:space="preserve">, que conservan y mantienen sus rasgos culturales costumbres, tradiciones o religión como parte de su forma habitual de vida en el Estado, en lo referente a: </w:t>
      </w:r>
    </w:p>
    <w:p w14:paraId="02CC762D" w14:textId="77777777" w:rsidR="001D5002" w:rsidRDefault="001D5002">
      <w:pPr>
        <w:spacing w:line="360" w:lineRule="auto"/>
        <w:jc w:val="both"/>
        <w:rPr>
          <w:rFonts w:ascii="Arial" w:eastAsia="Arial" w:hAnsi="Arial" w:cs="Arial"/>
        </w:rPr>
      </w:pPr>
    </w:p>
    <w:p w14:paraId="78DE4EEC" w14:textId="77777777" w:rsidR="001D5002" w:rsidRDefault="00B870AB">
      <w:pPr>
        <w:spacing w:line="360" w:lineRule="auto"/>
        <w:ind w:firstLine="708"/>
        <w:jc w:val="both"/>
        <w:rPr>
          <w:rFonts w:ascii="Arial" w:eastAsia="Arial" w:hAnsi="Arial" w:cs="Arial"/>
        </w:rPr>
      </w:pPr>
      <w:r>
        <w:rPr>
          <w:rFonts w:ascii="Arial" w:eastAsia="Arial" w:hAnsi="Arial" w:cs="Arial"/>
          <w:b/>
          <w:bCs/>
        </w:rPr>
        <w:t>a)</w:t>
      </w:r>
      <w:r>
        <w:rPr>
          <w:rFonts w:ascii="Arial" w:eastAsia="Arial" w:hAnsi="Arial" w:cs="Arial"/>
        </w:rPr>
        <w:t xml:space="preserve"> al </w:t>
      </w:r>
      <w:r>
        <w:rPr>
          <w:rFonts w:ascii="Arial" w:eastAsia="Arial" w:hAnsi="Arial" w:cs="Arial"/>
          <w:b/>
          <w:bCs/>
        </w:rPr>
        <w:t xml:space="preserve">f) </w:t>
      </w:r>
      <w:r>
        <w:rPr>
          <w:rFonts w:ascii="Arial" w:eastAsia="Arial" w:hAnsi="Arial" w:cs="Arial"/>
        </w:rPr>
        <w:t>…</w:t>
      </w:r>
    </w:p>
    <w:p w14:paraId="0386A4E2" w14:textId="77777777" w:rsidR="001D5002" w:rsidRDefault="00B870AB">
      <w:pPr>
        <w:spacing w:line="360" w:lineRule="auto"/>
        <w:jc w:val="both"/>
        <w:rPr>
          <w:rFonts w:ascii="Arial" w:eastAsia="Arial" w:hAnsi="Arial" w:cs="Arial"/>
        </w:rPr>
      </w:pPr>
      <w:r>
        <w:rPr>
          <w:rFonts w:ascii="Arial" w:eastAsia="Arial" w:hAnsi="Arial" w:cs="Arial"/>
        </w:rPr>
        <w:t>…</w:t>
      </w:r>
    </w:p>
    <w:p w14:paraId="5F7020EE" w14:textId="77777777" w:rsidR="001D5002" w:rsidRDefault="001D5002">
      <w:pPr>
        <w:spacing w:line="360" w:lineRule="auto"/>
        <w:jc w:val="both"/>
        <w:rPr>
          <w:rFonts w:ascii="Arial" w:eastAsia="Arial" w:hAnsi="Arial" w:cs="Arial"/>
        </w:rPr>
      </w:pPr>
    </w:p>
    <w:p w14:paraId="6BAC3874" w14:textId="77777777" w:rsidR="001D5002" w:rsidRDefault="00B870AB">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bCs/>
        </w:rPr>
        <w:t>XIV.</w:t>
      </w:r>
      <w:r>
        <w:rPr>
          <w:rFonts w:ascii="Arial" w:eastAsia="Arial" w:hAnsi="Arial" w:cs="Arial"/>
        </w:rPr>
        <w:t xml:space="preserve"> a la </w:t>
      </w:r>
      <w:r>
        <w:rPr>
          <w:rFonts w:ascii="Arial" w:eastAsia="Arial" w:hAnsi="Arial" w:cs="Arial"/>
          <w:b/>
          <w:bCs/>
        </w:rPr>
        <w:t xml:space="preserve">XV. </w:t>
      </w:r>
      <w:r>
        <w:rPr>
          <w:rFonts w:ascii="Arial" w:eastAsia="Arial" w:hAnsi="Arial" w:cs="Arial"/>
        </w:rPr>
        <w:t>…</w:t>
      </w:r>
    </w:p>
    <w:p w14:paraId="48FEACDB" w14:textId="77777777" w:rsidR="001D5002" w:rsidRDefault="001D5002">
      <w:pPr>
        <w:spacing w:line="360" w:lineRule="auto"/>
        <w:jc w:val="both"/>
        <w:rPr>
          <w:rFonts w:ascii="Arial" w:eastAsia="Arial" w:hAnsi="Arial" w:cs="Arial"/>
        </w:rPr>
      </w:pPr>
    </w:p>
    <w:p w14:paraId="6D3A2AFE" w14:textId="77777777" w:rsidR="001D5002" w:rsidRDefault="00B870AB">
      <w:pPr>
        <w:spacing w:line="360" w:lineRule="auto"/>
        <w:jc w:val="both"/>
        <w:rPr>
          <w:rFonts w:ascii="Arial" w:eastAsia="Arial" w:hAnsi="Arial" w:cs="Arial"/>
        </w:rPr>
      </w:pPr>
      <w:r>
        <w:rPr>
          <w:rFonts w:ascii="Arial" w:eastAsia="Arial" w:hAnsi="Arial" w:cs="Arial"/>
          <w:b/>
          <w:bCs/>
        </w:rPr>
        <w:t xml:space="preserve">      XVI.- JUVENTUDES, CULTURA FÍSICA Y DEPORTE.</w:t>
      </w:r>
      <w:r>
        <w:rPr>
          <w:rFonts w:ascii="Arial" w:eastAsia="Arial" w:hAnsi="Arial" w:cs="Arial"/>
        </w:rPr>
        <w:t xml:space="preserve"> Tendrá por objeto estudiar, analizar y dictaminar, sobre los asuntos relacionados con: </w:t>
      </w:r>
    </w:p>
    <w:p w14:paraId="6B903F84" w14:textId="77777777" w:rsidR="001D5002" w:rsidRDefault="001D5002">
      <w:pPr>
        <w:spacing w:line="360" w:lineRule="auto"/>
        <w:jc w:val="both"/>
        <w:rPr>
          <w:rFonts w:ascii="Arial" w:eastAsia="Arial" w:hAnsi="Arial" w:cs="Arial"/>
        </w:rPr>
      </w:pPr>
    </w:p>
    <w:p w14:paraId="17E1A4DD" w14:textId="77777777" w:rsidR="001D5002" w:rsidRDefault="00B870AB">
      <w:pPr>
        <w:spacing w:line="360" w:lineRule="auto"/>
        <w:ind w:firstLine="708"/>
        <w:jc w:val="both"/>
        <w:rPr>
          <w:rFonts w:ascii="Arial" w:eastAsia="Arial" w:hAnsi="Arial" w:cs="Arial"/>
        </w:rPr>
      </w:pPr>
      <w:r>
        <w:rPr>
          <w:rFonts w:ascii="Arial" w:eastAsia="Arial" w:hAnsi="Arial" w:cs="Arial"/>
          <w:b/>
          <w:bCs/>
        </w:rPr>
        <w:t>a)</w:t>
      </w:r>
      <w:r>
        <w:rPr>
          <w:rFonts w:ascii="Arial" w:eastAsia="Arial" w:hAnsi="Arial" w:cs="Arial"/>
        </w:rPr>
        <w:t xml:space="preserve"> al </w:t>
      </w:r>
      <w:r>
        <w:rPr>
          <w:rFonts w:ascii="Arial" w:eastAsia="Arial" w:hAnsi="Arial" w:cs="Arial"/>
          <w:b/>
          <w:bCs/>
        </w:rPr>
        <w:t xml:space="preserve">d) </w:t>
      </w:r>
      <w:r>
        <w:rPr>
          <w:rFonts w:ascii="Arial" w:eastAsia="Arial" w:hAnsi="Arial" w:cs="Arial"/>
        </w:rPr>
        <w:t>…</w:t>
      </w:r>
    </w:p>
    <w:p w14:paraId="467E7A24" w14:textId="77777777" w:rsidR="001D5002" w:rsidRDefault="001D5002">
      <w:pPr>
        <w:spacing w:line="360" w:lineRule="auto"/>
        <w:jc w:val="both"/>
        <w:rPr>
          <w:rFonts w:ascii="Arial" w:eastAsia="Arial" w:hAnsi="Arial" w:cs="Arial"/>
        </w:rPr>
      </w:pPr>
    </w:p>
    <w:p w14:paraId="7D209855" w14:textId="5171C6AB" w:rsidR="001D5002" w:rsidRDefault="00B870AB">
      <w:pPr>
        <w:spacing w:line="360" w:lineRule="auto"/>
        <w:ind w:left="708"/>
        <w:jc w:val="both"/>
        <w:rPr>
          <w:rFonts w:ascii="Arial" w:eastAsia="Arial" w:hAnsi="Arial" w:cs="Arial"/>
        </w:rPr>
      </w:pPr>
      <w:r>
        <w:rPr>
          <w:rFonts w:ascii="Arial" w:eastAsia="Arial" w:hAnsi="Arial" w:cs="Arial"/>
          <w:b/>
          <w:bCs/>
        </w:rPr>
        <w:t>e)</w:t>
      </w:r>
      <w:r>
        <w:rPr>
          <w:rFonts w:ascii="Arial" w:eastAsia="Arial" w:hAnsi="Arial" w:cs="Arial"/>
        </w:rPr>
        <w:t xml:space="preserve"> La promoción ante las instancias correspondientes, Instituciones, Organismos Públicos y Privados, Estatales o Nacionales, de la participación de </w:t>
      </w:r>
      <w:r>
        <w:rPr>
          <w:rFonts w:ascii="Arial" w:eastAsia="Arial" w:hAnsi="Arial" w:cs="Arial"/>
          <w:b/>
          <w:bCs/>
        </w:rPr>
        <w:t>las juventudes</w:t>
      </w:r>
      <w:r>
        <w:rPr>
          <w:rFonts w:ascii="Arial" w:eastAsia="Arial" w:hAnsi="Arial" w:cs="Arial"/>
        </w:rPr>
        <w:t xml:space="preserve"> en la vida social, política, económica y cultural de la entidad, con el fin de procurar desarrollo integral; </w:t>
      </w:r>
    </w:p>
    <w:p w14:paraId="6680EC3D" w14:textId="77777777" w:rsidR="001D5002" w:rsidRDefault="00B870AB">
      <w:pPr>
        <w:spacing w:line="360" w:lineRule="auto"/>
        <w:ind w:left="708"/>
        <w:jc w:val="both"/>
        <w:rPr>
          <w:rFonts w:ascii="Arial" w:eastAsia="Arial" w:hAnsi="Arial" w:cs="Arial"/>
        </w:rPr>
      </w:pPr>
      <w:r>
        <w:rPr>
          <w:rFonts w:ascii="Arial" w:eastAsia="Arial" w:hAnsi="Arial" w:cs="Arial"/>
          <w:b/>
          <w:bCs/>
        </w:rPr>
        <w:t>f)</w:t>
      </w:r>
      <w:r>
        <w:rPr>
          <w:rFonts w:ascii="Arial" w:eastAsia="Arial" w:hAnsi="Arial" w:cs="Arial"/>
        </w:rPr>
        <w:t xml:space="preserve"> La gestión de asuntos, demandas, opiniones y propuestas de </w:t>
      </w:r>
      <w:r>
        <w:rPr>
          <w:rFonts w:ascii="Arial" w:eastAsia="Arial" w:hAnsi="Arial" w:cs="Arial"/>
          <w:b/>
          <w:bCs/>
        </w:rPr>
        <w:t>las juventudes</w:t>
      </w:r>
      <w:r>
        <w:rPr>
          <w:rFonts w:ascii="Arial" w:eastAsia="Arial" w:hAnsi="Arial" w:cs="Arial"/>
        </w:rPr>
        <w:t xml:space="preserve">, así como la atención integral de los problemas que le son propios, y </w:t>
      </w:r>
    </w:p>
    <w:p w14:paraId="7AF3C7A2" w14:textId="77777777" w:rsidR="001D5002" w:rsidRDefault="00B870AB">
      <w:pPr>
        <w:spacing w:line="360" w:lineRule="auto"/>
        <w:ind w:left="708"/>
        <w:jc w:val="both"/>
        <w:rPr>
          <w:rFonts w:ascii="Arial" w:eastAsia="Arial" w:hAnsi="Arial" w:cs="Arial"/>
        </w:rPr>
      </w:pPr>
      <w:r>
        <w:rPr>
          <w:rFonts w:ascii="Arial" w:eastAsia="Arial" w:hAnsi="Arial" w:cs="Arial"/>
          <w:b/>
          <w:bCs/>
        </w:rPr>
        <w:t>g)</w:t>
      </w:r>
      <w:r>
        <w:rPr>
          <w:rFonts w:ascii="Arial" w:eastAsia="Arial" w:hAnsi="Arial" w:cs="Arial"/>
        </w:rPr>
        <w:t xml:space="preserve"> …</w:t>
      </w:r>
    </w:p>
    <w:p w14:paraId="753E8C22" w14:textId="77777777" w:rsidR="001D5002" w:rsidRDefault="001D5002">
      <w:pPr>
        <w:spacing w:line="360" w:lineRule="auto"/>
        <w:jc w:val="both"/>
        <w:rPr>
          <w:rFonts w:ascii="Arial" w:eastAsia="Arial" w:hAnsi="Arial" w:cs="Arial"/>
        </w:rPr>
      </w:pPr>
    </w:p>
    <w:p w14:paraId="7B92DEF9" w14:textId="77777777" w:rsidR="001D5002" w:rsidRDefault="00B870AB">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bCs/>
        </w:rPr>
        <w:t>XVII.</w:t>
      </w:r>
      <w:r>
        <w:rPr>
          <w:rFonts w:ascii="Arial" w:eastAsia="Arial" w:hAnsi="Arial" w:cs="Arial"/>
        </w:rPr>
        <w:t xml:space="preserve"> a la </w:t>
      </w:r>
      <w:r>
        <w:rPr>
          <w:rFonts w:ascii="Arial" w:eastAsia="Arial" w:hAnsi="Arial" w:cs="Arial"/>
          <w:b/>
          <w:bCs/>
        </w:rPr>
        <w:t xml:space="preserve">XVIII. </w:t>
      </w:r>
      <w:r>
        <w:rPr>
          <w:rFonts w:ascii="Arial" w:eastAsia="Arial" w:hAnsi="Arial" w:cs="Arial"/>
        </w:rPr>
        <w:t>…</w:t>
      </w:r>
    </w:p>
    <w:p w14:paraId="4C80E294" w14:textId="77777777" w:rsidR="001D5002" w:rsidRDefault="00B870AB">
      <w:pPr>
        <w:spacing w:line="360" w:lineRule="auto"/>
        <w:jc w:val="both"/>
        <w:rPr>
          <w:rFonts w:ascii="Arial" w:eastAsia="Arial" w:hAnsi="Arial" w:cs="Arial"/>
        </w:rPr>
      </w:pPr>
      <w:r>
        <w:rPr>
          <w:rFonts w:ascii="Arial" w:eastAsia="Arial" w:hAnsi="Arial" w:cs="Arial"/>
        </w:rPr>
        <w:t>…</w:t>
      </w:r>
    </w:p>
    <w:p w14:paraId="078125CE" w14:textId="77777777" w:rsidR="001D5002" w:rsidRDefault="001D5002">
      <w:pPr>
        <w:spacing w:line="360" w:lineRule="auto"/>
        <w:jc w:val="both"/>
        <w:rPr>
          <w:rFonts w:ascii="Arial" w:eastAsia="Arial" w:hAnsi="Arial" w:cs="Arial"/>
        </w:rPr>
      </w:pPr>
    </w:p>
    <w:p w14:paraId="009401BE" w14:textId="77777777" w:rsidR="001D5002" w:rsidRDefault="001D5002">
      <w:pPr>
        <w:spacing w:line="360" w:lineRule="auto"/>
        <w:jc w:val="both"/>
        <w:rPr>
          <w:rFonts w:ascii="Arial" w:eastAsia="Arial" w:hAnsi="Arial" w:cs="Arial"/>
        </w:rPr>
      </w:pPr>
    </w:p>
    <w:p w14:paraId="49138873" w14:textId="77777777" w:rsidR="001D5002" w:rsidRDefault="00B870AB">
      <w:pPr>
        <w:spacing w:line="360" w:lineRule="auto"/>
        <w:jc w:val="both"/>
        <w:rPr>
          <w:rFonts w:ascii="Arial" w:eastAsia="Arial" w:hAnsi="Arial" w:cs="Arial"/>
        </w:rPr>
      </w:pPr>
      <w:r>
        <w:rPr>
          <w:rFonts w:ascii="Arial" w:eastAsia="Arial" w:hAnsi="Arial" w:cs="Arial"/>
          <w:b/>
          <w:bCs/>
        </w:rPr>
        <w:t>Artículo 44.-</w:t>
      </w:r>
      <w:r>
        <w:rPr>
          <w:rFonts w:ascii="Arial" w:eastAsia="Arial" w:hAnsi="Arial" w:cs="Arial"/>
        </w:rPr>
        <w:t xml:space="preserve"> …</w:t>
      </w:r>
    </w:p>
    <w:p w14:paraId="0D6686FD" w14:textId="77777777" w:rsidR="001D5002" w:rsidRDefault="001D5002">
      <w:pPr>
        <w:ind w:firstLine="426"/>
        <w:jc w:val="both"/>
        <w:rPr>
          <w:rFonts w:ascii="Arial" w:eastAsia="Arial" w:hAnsi="Arial" w:cs="Arial"/>
        </w:rPr>
      </w:pPr>
    </w:p>
    <w:p w14:paraId="3155435F" w14:textId="77777777" w:rsidR="001D5002" w:rsidRDefault="00B870AB">
      <w:pPr>
        <w:spacing w:line="360" w:lineRule="auto"/>
        <w:ind w:firstLine="426"/>
        <w:jc w:val="both"/>
        <w:rPr>
          <w:rFonts w:ascii="Arial" w:eastAsia="Arial" w:hAnsi="Arial" w:cs="Arial"/>
        </w:rPr>
      </w:pPr>
      <w:r>
        <w:rPr>
          <w:rFonts w:ascii="Arial" w:eastAsia="Arial" w:hAnsi="Arial" w:cs="Arial"/>
          <w:b/>
          <w:bCs/>
        </w:rPr>
        <w:t>I</w:t>
      </w:r>
      <w:r w:rsidR="00EF5E3E">
        <w:rPr>
          <w:rFonts w:ascii="Arial" w:eastAsia="Arial" w:hAnsi="Arial" w:cs="Arial"/>
          <w:b/>
          <w:bCs/>
        </w:rPr>
        <w:t>.</w:t>
      </w:r>
      <w:r>
        <w:rPr>
          <w:rFonts w:ascii="Arial" w:eastAsia="Arial" w:hAnsi="Arial" w:cs="Arial"/>
          <w:b/>
          <w:bCs/>
        </w:rPr>
        <w:t xml:space="preserve"> </w:t>
      </w:r>
      <w:r w:rsidRPr="00EF5E3E">
        <w:rPr>
          <w:rFonts w:ascii="Arial" w:eastAsia="Arial" w:hAnsi="Arial" w:cs="Arial"/>
          <w:bCs/>
        </w:rPr>
        <w:t>a la</w:t>
      </w:r>
      <w:r>
        <w:rPr>
          <w:rFonts w:ascii="Arial" w:eastAsia="Arial" w:hAnsi="Arial" w:cs="Arial"/>
          <w:b/>
          <w:bCs/>
        </w:rPr>
        <w:t xml:space="preserve"> XI. </w:t>
      </w:r>
      <w:r w:rsidRPr="00EF5E3E">
        <w:rPr>
          <w:rFonts w:ascii="Arial" w:eastAsia="Arial" w:hAnsi="Arial" w:cs="Arial"/>
          <w:bCs/>
        </w:rPr>
        <w:t xml:space="preserve">… </w:t>
      </w:r>
    </w:p>
    <w:p w14:paraId="2F06547A" w14:textId="77777777" w:rsidR="001D5002" w:rsidRDefault="001D5002">
      <w:pPr>
        <w:spacing w:line="360" w:lineRule="auto"/>
        <w:ind w:firstLine="426"/>
        <w:jc w:val="both"/>
        <w:rPr>
          <w:rFonts w:ascii="Arial" w:eastAsia="Arial" w:hAnsi="Arial" w:cs="Arial"/>
        </w:rPr>
      </w:pPr>
    </w:p>
    <w:p w14:paraId="20E3924E" w14:textId="77777777" w:rsidR="001D5002" w:rsidRDefault="00B870AB">
      <w:pPr>
        <w:spacing w:line="360" w:lineRule="auto"/>
        <w:ind w:firstLine="426"/>
        <w:jc w:val="both"/>
        <w:rPr>
          <w:rFonts w:ascii="Arial" w:eastAsia="Arial" w:hAnsi="Arial" w:cs="Arial"/>
        </w:rPr>
      </w:pPr>
      <w:r w:rsidRPr="003F4EF1">
        <w:rPr>
          <w:rFonts w:ascii="Arial" w:eastAsia="Arial" w:hAnsi="Arial" w:cs="Arial"/>
          <w:b/>
          <w:bCs/>
        </w:rPr>
        <w:t>XII.- Cuando sus trabajos lo ameriten, acordar por la mayoría de sus integrantes la celebración de sesiones o reuniones presenciales de trabajo fuera del Recinto del Poder Legislativo, informando previamente de ello a la Presidencia de la Mesa Directiva.</w:t>
      </w:r>
      <w:r>
        <w:rPr>
          <w:rFonts w:ascii="Arial" w:eastAsia="Arial" w:hAnsi="Arial" w:cs="Arial"/>
          <w:b/>
          <w:bCs/>
        </w:rPr>
        <w:t xml:space="preserve"> </w:t>
      </w:r>
    </w:p>
    <w:p w14:paraId="557086D6" w14:textId="77777777" w:rsidR="001D5002" w:rsidRDefault="001D5002">
      <w:pPr>
        <w:spacing w:line="360" w:lineRule="auto"/>
        <w:jc w:val="both"/>
        <w:rPr>
          <w:rFonts w:ascii="Arial" w:eastAsia="Arial" w:hAnsi="Arial" w:cs="Arial"/>
        </w:rPr>
      </w:pPr>
    </w:p>
    <w:p w14:paraId="58F1AB0A" w14:textId="77777777" w:rsidR="001D5002" w:rsidRDefault="00B870AB">
      <w:pPr>
        <w:spacing w:line="360" w:lineRule="auto"/>
        <w:jc w:val="both"/>
        <w:rPr>
          <w:rFonts w:ascii="Arial" w:eastAsia="Arial" w:hAnsi="Arial" w:cs="Arial"/>
        </w:rPr>
      </w:pPr>
      <w:r>
        <w:rPr>
          <w:rFonts w:ascii="Arial" w:eastAsia="Arial" w:hAnsi="Arial" w:cs="Arial"/>
          <w:b/>
          <w:bCs/>
        </w:rPr>
        <w:t>Artículo 61.-</w:t>
      </w:r>
      <w:r>
        <w:rPr>
          <w:rFonts w:ascii="Arial" w:eastAsia="Arial" w:hAnsi="Arial" w:cs="Arial"/>
        </w:rPr>
        <w:t xml:space="preserve"> …</w:t>
      </w:r>
    </w:p>
    <w:p w14:paraId="4A3B7CAB" w14:textId="77777777" w:rsidR="001D5002" w:rsidRDefault="001D5002">
      <w:pPr>
        <w:spacing w:line="360" w:lineRule="auto"/>
        <w:jc w:val="both"/>
        <w:rPr>
          <w:rFonts w:ascii="Arial" w:eastAsia="Arial" w:hAnsi="Arial" w:cs="Arial"/>
        </w:rPr>
      </w:pPr>
    </w:p>
    <w:p w14:paraId="672A8462" w14:textId="77777777" w:rsidR="001D5002" w:rsidRDefault="00BD39E2">
      <w:pPr>
        <w:tabs>
          <w:tab w:val="left" w:pos="851"/>
        </w:tabs>
        <w:spacing w:line="360" w:lineRule="auto"/>
        <w:ind w:firstLine="426"/>
        <w:jc w:val="both"/>
        <w:rPr>
          <w:rFonts w:ascii="Arial" w:eastAsia="Arial" w:hAnsi="Arial" w:cs="Arial"/>
          <w:sz w:val="22"/>
          <w:szCs w:val="22"/>
        </w:rPr>
      </w:pPr>
      <w:r>
        <w:rPr>
          <w:rFonts w:ascii="Arial" w:eastAsia="Arial" w:hAnsi="Arial" w:cs="Arial"/>
          <w:b/>
          <w:bCs/>
        </w:rPr>
        <w:t>I.</w:t>
      </w:r>
      <w:r w:rsidR="00B870AB">
        <w:rPr>
          <w:rFonts w:ascii="Arial" w:eastAsia="Arial" w:hAnsi="Arial" w:cs="Arial"/>
        </w:rPr>
        <w:tab/>
        <w:t xml:space="preserve">a la </w:t>
      </w:r>
      <w:r w:rsidR="00B870AB">
        <w:rPr>
          <w:rFonts w:ascii="Arial" w:eastAsia="Arial" w:hAnsi="Arial" w:cs="Arial"/>
          <w:b/>
          <w:bCs/>
        </w:rPr>
        <w:t>VI</w:t>
      </w:r>
      <w:r w:rsidR="00B870AB" w:rsidRPr="00BD39E2">
        <w:rPr>
          <w:rFonts w:ascii="Arial" w:eastAsia="Arial" w:hAnsi="Arial" w:cs="Arial"/>
          <w:b/>
          <w:bCs/>
        </w:rPr>
        <w:t>I</w:t>
      </w:r>
      <w:r w:rsidR="00B870AB" w:rsidRPr="00BD39E2">
        <w:rPr>
          <w:rFonts w:ascii="Arial" w:eastAsia="Arial" w:hAnsi="Arial" w:cs="Arial"/>
          <w:b/>
        </w:rPr>
        <w:t>.</w:t>
      </w:r>
      <w:r w:rsidR="00B870AB">
        <w:rPr>
          <w:rFonts w:ascii="Arial" w:eastAsia="Arial" w:hAnsi="Arial" w:cs="Arial"/>
        </w:rPr>
        <w:t xml:space="preserve"> … </w:t>
      </w:r>
    </w:p>
    <w:p w14:paraId="6525A2C1" w14:textId="77777777" w:rsidR="001D5002" w:rsidRDefault="001D5002">
      <w:pPr>
        <w:tabs>
          <w:tab w:val="left" w:pos="993"/>
        </w:tabs>
        <w:ind w:firstLine="426"/>
        <w:jc w:val="both"/>
        <w:rPr>
          <w:rFonts w:ascii="Arial" w:eastAsia="Arial" w:hAnsi="Arial" w:cs="Arial"/>
        </w:rPr>
      </w:pPr>
    </w:p>
    <w:p w14:paraId="6FE1A951" w14:textId="77777777" w:rsidR="001D5002" w:rsidRDefault="00B870AB">
      <w:pPr>
        <w:tabs>
          <w:tab w:val="left" w:pos="993"/>
        </w:tabs>
        <w:spacing w:line="360" w:lineRule="auto"/>
        <w:ind w:firstLine="426"/>
        <w:jc w:val="both"/>
        <w:rPr>
          <w:rFonts w:ascii="Arial" w:eastAsia="Arial" w:hAnsi="Arial" w:cs="Arial"/>
        </w:rPr>
      </w:pPr>
      <w:r w:rsidRPr="003F4EF1">
        <w:rPr>
          <w:rFonts w:ascii="Arial" w:eastAsia="Arial" w:hAnsi="Arial" w:cs="Arial"/>
          <w:b/>
          <w:bCs/>
        </w:rPr>
        <w:t>VIII.-</w:t>
      </w:r>
      <w:r w:rsidR="00BD39E2">
        <w:rPr>
          <w:rFonts w:ascii="Arial" w:eastAsia="Arial" w:hAnsi="Arial" w:cs="Arial"/>
          <w:b/>
          <w:bCs/>
        </w:rPr>
        <w:t xml:space="preserve"> </w:t>
      </w:r>
      <w:r w:rsidRPr="003F4EF1">
        <w:rPr>
          <w:rFonts w:ascii="Arial" w:eastAsia="Arial" w:hAnsi="Arial" w:cs="Arial"/>
        </w:rPr>
        <w:t>Proponer al Congreso, los reglamentos que estime necesarios para el funcionamiento de las unidades técnicas y administrativas;</w:t>
      </w:r>
      <w:r>
        <w:rPr>
          <w:rFonts w:ascii="Arial" w:eastAsia="Arial" w:hAnsi="Arial" w:cs="Arial"/>
        </w:rPr>
        <w:t xml:space="preserve"> </w:t>
      </w:r>
    </w:p>
    <w:p w14:paraId="3F297526" w14:textId="77777777" w:rsidR="001D5002" w:rsidRDefault="001D5002">
      <w:pPr>
        <w:tabs>
          <w:tab w:val="left" w:pos="851"/>
        </w:tabs>
        <w:spacing w:line="360" w:lineRule="auto"/>
        <w:ind w:firstLine="426"/>
        <w:jc w:val="both"/>
        <w:rPr>
          <w:rFonts w:ascii="Arial" w:eastAsia="Arial" w:hAnsi="Arial" w:cs="Arial"/>
        </w:rPr>
      </w:pPr>
    </w:p>
    <w:p w14:paraId="347FFBDC" w14:textId="77777777" w:rsidR="001D5002" w:rsidRDefault="00BD39E2">
      <w:pPr>
        <w:tabs>
          <w:tab w:val="left" w:pos="851"/>
        </w:tabs>
        <w:spacing w:line="360" w:lineRule="auto"/>
        <w:ind w:firstLine="426"/>
        <w:jc w:val="both"/>
        <w:rPr>
          <w:rFonts w:ascii="Arial" w:eastAsia="Arial" w:hAnsi="Arial" w:cs="Arial"/>
        </w:rPr>
      </w:pPr>
      <w:r>
        <w:rPr>
          <w:rFonts w:ascii="Arial" w:eastAsia="Arial" w:hAnsi="Arial" w:cs="Arial"/>
          <w:b/>
          <w:bCs/>
        </w:rPr>
        <w:t>IX.</w:t>
      </w:r>
      <w:r w:rsidR="00B870AB">
        <w:rPr>
          <w:rFonts w:ascii="Arial" w:eastAsia="Arial" w:hAnsi="Arial" w:cs="Arial"/>
        </w:rPr>
        <w:tab/>
        <w:t xml:space="preserve">a la </w:t>
      </w:r>
      <w:r w:rsidR="00B870AB">
        <w:rPr>
          <w:rFonts w:ascii="Arial" w:eastAsia="Arial" w:hAnsi="Arial" w:cs="Arial"/>
          <w:b/>
          <w:bCs/>
        </w:rPr>
        <w:t>XIV. …</w:t>
      </w:r>
    </w:p>
    <w:p w14:paraId="2CEE0495" w14:textId="77777777" w:rsidR="001D5002" w:rsidRDefault="001D5002">
      <w:pPr>
        <w:tabs>
          <w:tab w:val="left" w:pos="851"/>
        </w:tabs>
        <w:spacing w:line="360" w:lineRule="auto"/>
        <w:ind w:firstLine="426"/>
        <w:jc w:val="both"/>
        <w:rPr>
          <w:rFonts w:ascii="Arial" w:eastAsia="Arial" w:hAnsi="Arial" w:cs="Arial"/>
        </w:rPr>
      </w:pPr>
    </w:p>
    <w:p w14:paraId="4232A3EB" w14:textId="77777777" w:rsidR="001D5002" w:rsidRDefault="00B870AB">
      <w:pPr>
        <w:tabs>
          <w:tab w:val="left" w:pos="851"/>
        </w:tabs>
        <w:spacing w:line="360" w:lineRule="auto"/>
        <w:ind w:firstLine="426"/>
        <w:jc w:val="both"/>
        <w:rPr>
          <w:rFonts w:ascii="Arial" w:eastAsia="Arial" w:hAnsi="Arial" w:cs="Arial"/>
        </w:rPr>
      </w:pPr>
      <w:r>
        <w:rPr>
          <w:rFonts w:ascii="Arial" w:eastAsia="Arial" w:hAnsi="Arial" w:cs="Arial"/>
          <w:b/>
          <w:bCs/>
        </w:rPr>
        <w:t>XV.-</w:t>
      </w:r>
      <w:r w:rsidR="00BD39E2">
        <w:rPr>
          <w:rFonts w:ascii="Arial" w:eastAsia="Arial" w:hAnsi="Arial" w:cs="Arial"/>
          <w:b/>
          <w:bCs/>
        </w:rPr>
        <w:t xml:space="preserve"> </w:t>
      </w:r>
      <w:r>
        <w:rPr>
          <w:rFonts w:ascii="Arial" w:eastAsia="Arial" w:hAnsi="Arial" w:cs="Arial"/>
        </w:rPr>
        <w:t xml:space="preserve">Establecer el catálogo de sueldos, percepciones y prestaciones de los servidores públicos, funcionarios y demás empleados del Poder Legislativo, </w:t>
      </w:r>
      <w:r w:rsidRPr="00BD39E2">
        <w:rPr>
          <w:rFonts w:ascii="Arial" w:eastAsia="Arial" w:hAnsi="Arial" w:cs="Arial"/>
          <w:b/>
        </w:rPr>
        <w:t>así como los Manuales de Organización, Manuales de Procedimientos y otros documentos normati</w:t>
      </w:r>
      <w:r w:rsidR="00BD39E2" w:rsidRPr="00BD39E2">
        <w:rPr>
          <w:rFonts w:ascii="Arial" w:eastAsia="Arial" w:hAnsi="Arial" w:cs="Arial"/>
          <w:b/>
        </w:rPr>
        <w:t>vos en el ámbito administrativo.</w:t>
      </w:r>
    </w:p>
    <w:p w14:paraId="2BC73568" w14:textId="77777777" w:rsidR="00BD39E2" w:rsidRDefault="00BD39E2">
      <w:pPr>
        <w:tabs>
          <w:tab w:val="left" w:pos="851"/>
        </w:tabs>
        <w:spacing w:line="360" w:lineRule="auto"/>
        <w:ind w:firstLine="426"/>
        <w:jc w:val="both"/>
        <w:rPr>
          <w:rFonts w:ascii="Arial" w:eastAsia="Arial" w:hAnsi="Arial" w:cs="Arial"/>
          <w:b/>
          <w:bCs/>
        </w:rPr>
      </w:pPr>
    </w:p>
    <w:p w14:paraId="145891C1" w14:textId="77777777" w:rsidR="001D5002" w:rsidRDefault="00FC3467">
      <w:pPr>
        <w:tabs>
          <w:tab w:val="left" w:pos="851"/>
        </w:tabs>
        <w:spacing w:line="360" w:lineRule="auto"/>
        <w:ind w:firstLine="426"/>
        <w:jc w:val="both"/>
        <w:rPr>
          <w:rFonts w:ascii="Arial" w:eastAsia="Arial" w:hAnsi="Arial" w:cs="Arial"/>
        </w:rPr>
      </w:pPr>
      <w:r>
        <w:rPr>
          <w:rFonts w:ascii="Arial" w:eastAsia="Arial" w:hAnsi="Arial" w:cs="Arial"/>
          <w:b/>
          <w:bCs/>
        </w:rPr>
        <w:t xml:space="preserve">XVI. </w:t>
      </w:r>
      <w:r w:rsidRPr="00FC3467">
        <w:rPr>
          <w:rFonts w:ascii="Arial" w:eastAsia="Arial" w:hAnsi="Arial" w:cs="Arial"/>
          <w:bCs/>
        </w:rPr>
        <w:t>a</w:t>
      </w:r>
      <w:r>
        <w:rPr>
          <w:rFonts w:ascii="Arial" w:eastAsia="Arial" w:hAnsi="Arial" w:cs="Arial"/>
          <w:b/>
          <w:bCs/>
        </w:rPr>
        <w:t xml:space="preserve"> XVII. …</w:t>
      </w:r>
    </w:p>
    <w:p w14:paraId="24DC4AB8" w14:textId="77777777" w:rsidR="001D5002" w:rsidRDefault="001D5002">
      <w:pPr>
        <w:spacing w:line="360" w:lineRule="auto"/>
        <w:jc w:val="both"/>
        <w:rPr>
          <w:rFonts w:ascii="Arial" w:eastAsia="Arial" w:hAnsi="Arial" w:cs="Arial"/>
        </w:rPr>
      </w:pPr>
    </w:p>
    <w:p w14:paraId="322B31C3" w14:textId="77777777" w:rsidR="001D5002" w:rsidRDefault="001D5002">
      <w:pPr>
        <w:spacing w:line="360" w:lineRule="auto"/>
        <w:jc w:val="both"/>
        <w:rPr>
          <w:rFonts w:ascii="Arial" w:eastAsia="Arial" w:hAnsi="Arial" w:cs="Arial"/>
        </w:rPr>
      </w:pPr>
    </w:p>
    <w:p w14:paraId="3E20D32B" w14:textId="77777777" w:rsidR="001D5002" w:rsidRDefault="00B870AB">
      <w:pPr>
        <w:spacing w:line="360" w:lineRule="auto"/>
        <w:jc w:val="both"/>
        <w:rPr>
          <w:rFonts w:ascii="Arial" w:eastAsia="Arial" w:hAnsi="Arial" w:cs="Arial"/>
        </w:rPr>
      </w:pPr>
      <w:r>
        <w:rPr>
          <w:rFonts w:ascii="Arial" w:eastAsia="Arial" w:hAnsi="Arial" w:cs="Arial"/>
          <w:b/>
          <w:bCs/>
        </w:rPr>
        <w:t>Artículo 75 quáter. -</w:t>
      </w:r>
      <w:r>
        <w:rPr>
          <w:rFonts w:ascii="Arial" w:eastAsia="Arial" w:hAnsi="Arial" w:cs="Arial"/>
        </w:rPr>
        <w:t xml:space="preserve"> ...</w:t>
      </w:r>
    </w:p>
    <w:p w14:paraId="0C51DD7C" w14:textId="77777777" w:rsidR="001D5002" w:rsidRDefault="001D5002">
      <w:pPr>
        <w:spacing w:line="360" w:lineRule="auto"/>
        <w:jc w:val="both"/>
        <w:rPr>
          <w:rFonts w:ascii="Arial" w:eastAsia="Arial" w:hAnsi="Arial" w:cs="Arial"/>
        </w:rPr>
      </w:pPr>
    </w:p>
    <w:p w14:paraId="3BAA8EC0" w14:textId="77777777" w:rsidR="001D5002" w:rsidRDefault="00B870AB">
      <w:pPr>
        <w:spacing w:line="360" w:lineRule="auto"/>
        <w:jc w:val="both"/>
        <w:rPr>
          <w:rFonts w:ascii="Arial" w:eastAsia="Arial" w:hAnsi="Arial" w:cs="Arial"/>
        </w:rPr>
      </w:pPr>
      <w:r>
        <w:rPr>
          <w:rFonts w:ascii="Arial" w:eastAsia="Arial" w:hAnsi="Arial" w:cs="Arial"/>
          <w:b/>
          <w:bCs/>
        </w:rPr>
        <w:t>I.</w:t>
      </w:r>
      <w:r>
        <w:rPr>
          <w:rFonts w:ascii="Arial" w:eastAsia="Arial" w:hAnsi="Arial" w:cs="Arial"/>
        </w:rPr>
        <w:t xml:space="preserve"> a la </w:t>
      </w:r>
      <w:r>
        <w:rPr>
          <w:rFonts w:ascii="Arial" w:eastAsia="Arial" w:hAnsi="Arial" w:cs="Arial"/>
          <w:b/>
          <w:bCs/>
        </w:rPr>
        <w:t>XX.</w:t>
      </w:r>
      <w:r>
        <w:rPr>
          <w:rFonts w:ascii="Arial" w:eastAsia="Arial" w:hAnsi="Arial" w:cs="Arial"/>
        </w:rPr>
        <w:t xml:space="preserve"> …</w:t>
      </w:r>
    </w:p>
    <w:p w14:paraId="19333824" w14:textId="77777777" w:rsidR="001D5002" w:rsidRDefault="001D5002">
      <w:pPr>
        <w:spacing w:line="360" w:lineRule="auto"/>
        <w:jc w:val="both"/>
        <w:rPr>
          <w:rFonts w:ascii="Arial" w:eastAsia="Arial" w:hAnsi="Arial" w:cs="Arial"/>
        </w:rPr>
      </w:pPr>
    </w:p>
    <w:p w14:paraId="5CFD6F21" w14:textId="77777777" w:rsidR="001D5002" w:rsidRDefault="00B870AB">
      <w:pPr>
        <w:spacing w:line="360" w:lineRule="auto"/>
        <w:jc w:val="both"/>
        <w:rPr>
          <w:rFonts w:ascii="Arial" w:eastAsia="Arial" w:hAnsi="Arial" w:cs="Arial"/>
        </w:rPr>
      </w:pPr>
      <w:r>
        <w:rPr>
          <w:rFonts w:ascii="Arial" w:eastAsia="Arial" w:hAnsi="Arial" w:cs="Arial"/>
          <w:b/>
          <w:bCs/>
        </w:rPr>
        <w:t>XXI.-</w:t>
      </w:r>
      <w:r>
        <w:rPr>
          <w:rFonts w:ascii="Arial" w:eastAsia="Arial" w:hAnsi="Arial" w:cs="Arial"/>
        </w:rPr>
        <w:t xml:space="preserve"> Implementar las políticas de coordinación que promuevan los comités coordinadores de los Sistemas Nacional y Estatal Anticorrupción, en materia de combate a la corrupción en la Administración Pública estatal</w:t>
      </w:r>
      <w:r>
        <w:rPr>
          <w:rFonts w:ascii="Arial" w:eastAsia="Arial" w:hAnsi="Arial" w:cs="Arial"/>
          <w:b/>
          <w:bCs/>
        </w:rPr>
        <w:t>;</w:t>
      </w:r>
    </w:p>
    <w:p w14:paraId="019D2BB8" w14:textId="77777777" w:rsidR="001D5002" w:rsidRDefault="001D5002">
      <w:pPr>
        <w:spacing w:line="360" w:lineRule="auto"/>
        <w:jc w:val="both"/>
        <w:rPr>
          <w:rFonts w:ascii="Arial" w:eastAsia="Arial" w:hAnsi="Arial" w:cs="Arial"/>
        </w:rPr>
      </w:pPr>
    </w:p>
    <w:p w14:paraId="05A2E673" w14:textId="77777777" w:rsidR="001D5002" w:rsidRDefault="00B870AB">
      <w:pPr>
        <w:spacing w:line="360" w:lineRule="auto"/>
        <w:jc w:val="both"/>
        <w:rPr>
          <w:rFonts w:ascii="Arial" w:eastAsia="Arial" w:hAnsi="Arial" w:cs="Arial"/>
        </w:rPr>
      </w:pPr>
      <w:r>
        <w:rPr>
          <w:rFonts w:ascii="Arial" w:eastAsia="Arial" w:hAnsi="Arial" w:cs="Arial"/>
          <w:b/>
          <w:bCs/>
        </w:rPr>
        <w:t>XXII.-</w:t>
      </w:r>
      <w:r>
        <w:rPr>
          <w:rFonts w:ascii="Arial" w:eastAsia="Arial" w:hAnsi="Arial" w:cs="Arial"/>
        </w:rPr>
        <w:t xml:space="preserve"> Emitir el código de ética de los servidores públicos del estado y las reglas de Integridad para el ejercicio de la función pública</w:t>
      </w:r>
      <w:r>
        <w:rPr>
          <w:rFonts w:ascii="Arial" w:eastAsia="Arial" w:hAnsi="Arial" w:cs="Arial"/>
          <w:b/>
          <w:bCs/>
        </w:rPr>
        <w:t>, y</w:t>
      </w:r>
    </w:p>
    <w:p w14:paraId="556F6A85" w14:textId="77777777" w:rsidR="001D5002" w:rsidRDefault="001D5002">
      <w:pPr>
        <w:spacing w:line="360" w:lineRule="auto"/>
        <w:jc w:val="both"/>
        <w:rPr>
          <w:rFonts w:ascii="Arial" w:eastAsia="Arial" w:hAnsi="Arial" w:cs="Arial"/>
        </w:rPr>
      </w:pPr>
    </w:p>
    <w:p w14:paraId="2E56641D" w14:textId="77777777" w:rsidR="00BD39E2" w:rsidRDefault="00B870AB">
      <w:pPr>
        <w:spacing w:line="360" w:lineRule="auto"/>
        <w:jc w:val="both"/>
        <w:rPr>
          <w:rFonts w:ascii="Arial" w:eastAsia="Arial" w:hAnsi="Arial" w:cs="Arial"/>
        </w:rPr>
      </w:pPr>
      <w:r w:rsidRPr="00BD39E2">
        <w:rPr>
          <w:rFonts w:ascii="Arial" w:eastAsia="Arial" w:hAnsi="Arial" w:cs="Arial"/>
          <w:b/>
          <w:bCs/>
        </w:rPr>
        <w:t>XXIII.-</w:t>
      </w:r>
      <w:r w:rsidRPr="00BD39E2">
        <w:rPr>
          <w:rFonts w:ascii="Arial" w:eastAsia="Arial" w:hAnsi="Arial" w:cs="Arial"/>
        </w:rPr>
        <w:t xml:space="preserve"> </w:t>
      </w:r>
      <w:r w:rsidRPr="00BD39E2">
        <w:rPr>
          <w:rFonts w:ascii="Arial" w:eastAsia="Arial" w:hAnsi="Arial" w:cs="Arial"/>
          <w:b/>
          <w:bCs/>
        </w:rPr>
        <w:t>Garantizar</w:t>
      </w:r>
      <w:r>
        <w:rPr>
          <w:rFonts w:ascii="Arial" w:eastAsia="Arial" w:hAnsi="Arial" w:cs="Arial"/>
          <w:b/>
          <w:bCs/>
        </w:rPr>
        <w:t xml:space="preserve"> en el ámbito de su competencia como Autoridad Garante del Poder Legislativo, el ejercicio de los derechos de acceso a la información pública y la protección de datos personales conforme a los principios y bases establecidos en la Constitución Política de los Estados Unidos Mexicanos, así como lo previsto en la Ley General de Transparencia y Acceso a la Información Pública y la Ley de Transparencia y Acceso a la Información Pública del Estado de Yucatán.</w:t>
      </w:r>
    </w:p>
    <w:p w14:paraId="434B876C" w14:textId="77777777" w:rsidR="00AB3FA5" w:rsidRDefault="00AB3FA5">
      <w:pPr>
        <w:spacing w:line="360" w:lineRule="auto"/>
        <w:jc w:val="both"/>
        <w:rPr>
          <w:rFonts w:ascii="Arial" w:eastAsia="Arial" w:hAnsi="Arial" w:cs="Arial"/>
          <w:b/>
          <w:bCs/>
        </w:rPr>
      </w:pPr>
    </w:p>
    <w:p w14:paraId="439720BD" w14:textId="77777777" w:rsidR="00AB3FA5" w:rsidRDefault="00AB3FA5">
      <w:pPr>
        <w:spacing w:line="360" w:lineRule="auto"/>
        <w:jc w:val="both"/>
        <w:rPr>
          <w:rFonts w:ascii="Arial" w:eastAsia="Arial" w:hAnsi="Arial" w:cs="Arial"/>
          <w:b/>
          <w:bCs/>
        </w:rPr>
      </w:pPr>
    </w:p>
    <w:p w14:paraId="17CFB8B9" w14:textId="77777777" w:rsidR="00AB3FA5" w:rsidRDefault="00AB3FA5">
      <w:pPr>
        <w:spacing w:line="360" w:lineRule="auto"/>
        <w:jc w:val="both"/>
        <w:rPr>
          <w:rFonts w:ascii="Arial" w:eastAsia="Arial" w:hAnsi="Arial" w:cs="Arial"/>
          <w:b/>
          <w:bCs/>
        </w:rPr>
      </w:pPr>
    </w:p>
    <w:p w14:paraId="16EE3E51" w14:textId="77777777" w:rsidR="00AB3FA5" w:rsidRDefault="00AB3FA5">
      <w:pPr>
        <w:spacing w:line="360" w:lineRule="auto"/>
        <w:jc w:val="both"/>
        <w:rPr>
          <w:rFonts w:ascii="Arial" w:eastAsia="Arial" w:hAnsi="Arial" w:cs="Arial"/>
          <w:b/>
          <w:bCs/>
        </w:rPr>
      </w:pPr>
    </w:p>
    <w:p w14:paraId="4CD96A3D" w14:textId="77777777" w:rsidR="00AB3FA5" w:rsidRDefault="00AB3FA5">
      <w:pPr>
        <w:spacing w:line="360" w:lineRule="auto"/>
        <w:jc w:val="both"/>
        <w:rPr>
          <w:rFonts w:ascii="Arial" w:eastAsia="Arial" w:hAnsi="Arial" w:cs="Arial"/>
          <w:b/>
          <w:bCs/>
        </w:rPr>
      </w:pPr>
    </w:p>
    <w:p w14:paraId="4BCD8492" w14:textId="77777777" w:rsidR="00AB3FA5" w:rsidRDefault="00AB3FA5">
      <w:pPr>
        <w:spacing w:line="360" w:lineRule="auto"/>
        <w:jc w:val="both"/>
        <w:rPr>
          <w:rFonts w:ascii="Arial" w:eastAsia="Arial" w:hAnsi="Arial" w:cs="Arial"/>
          <w:b/>
          <w:bCs/>
        </w:rPr>
      </w:pPr>
    </w:p>
    <w:p w14:paraId="2663A9C9" w14:textId="77777777" w:rsidR="00AB3FA5" w:rsidRDefault="00AB3FA5">
      <w:pPr>
        <w:spacing w:line="360" w:lineRule="auto"/>
        <w:jc w:val="both"/>
        <w:rPr>
          <w:rFonts w:ascii="Arial" w:eastAsia="Arial" w:hAnsi="Arial" w:cs="Arial"/>
          <w:b/>
          <w:bCs/>
        </w:rPr>
      </w:pPr>
    </w:p>
    <w:p w14:paraId="58754834" w14:textId="77777777" w:rsidR="00AB3FA5" w:rsidRDefault="00AB3FA5">
      <w:pPr>
        <w:spacing w:line="360" w:lineRule="auto"/>
        <w:jc w:val="both"/>
        <w:rPr>
          <w:rFonts w:ascii="Arial" w:eastAsia="Arial" w:hAnsi="Arial" w:cs="Arial"/>
          <w:b/>
          <w:bCs/>
        </w:rPr>
      </w:pPr>
    </w:p>
    <w:p w14:paraId="45ED2035" w14:textId="77777777" w:rsidR="001D5002" w:rsidRDefault="00AB3FA5">
      <w:pPr>
        <w:spacing w:line="360" w:lineRule="auto"/>
        <w:jc w:val="both"/>
        <w:rPr>
          <w:rFonts w:ascii="Arial" w:eastAsia="Arial" w:hAnsi="Arial" w:cs="Arial"/>
        </w:rPr>
      </w:pPr>
      <w:r>
        <w:rPr>
          <w:rFonts w:ascii="Arial" w:eastAsia="Arial" w:hAnsi="Arial" w:cs="Arial"/>
          <w:b/>
          <w:bCs/>
        </w:rPr>
        <w:t>Artículo segundo.-</w:t>
      </w:r>
      <w:r w:rsidR="00114F40">
        <w:rPr>
          <w:rFonts w:ascii="Arial" w:eastAsia="Arial" w:hAnsi="Arial" w:cs="Arial"/>
        </w:rPr>
        <w:t xml:space="preserve"> </w:t>
      </w:r>
      <w:r w:rsidR="00114F40" w:rsidRPr="00114F40">
        <w:rPr>
          <w:rFonts w:ascii="Arial" w:eastAsia="Arial" w:hAnsi="Arial" w:cs="Arial"/>
        </w:rPr>
        <w:t>Se reforma el último párrafo del artículo 54; se reforma el párrafo segundo del artículo 68; se reforma la fracción I del artículo 71; se adicionan la fracción VIII del artículo 82; y la fracción VI del artículo 88, se deroga el artículo 95 Ter y se adiciona el artículo 98 Bis, se reforma el artículo 185 ter, todos del Reglamento de la Ley de Gobierno del Poder Legislativo del Estado de Yucatán; para quedar como sigue:</w:t>
      </w:r>
    </w:p>
    <w:p w14:paraId="34F9664C" w14:textId="77777777" w:rsidR="001D5002" w:rsidRDefault="001D5002">
      <w:pPr>
        <w:spacing w:line="360" w:lineRule="auto"/>
        <w:jc w:val="both"/>
        <w:rPr>
          <w:rFonts w:ascii="Arial" w:eastAsia="Arial" w:hAnsi="Arial" w:cs="Arial"/>
        </w:rPr>
      </w:pPr>
    </w:p>
    <w:p w14:paraId="5ED651AA" w14:textId="77777777" w:rsidR="001D5002" w:rsidRDefault="00BD39E2">
      <w:pPr>
        <w:spacing w:line="360" w:lineRule="auto"/>
        <w:jc w:val="both"/>
        <w:rPr>
          <w:rFonts w:ascii="Arial" w:eastAsia="Arial" w:hAnsi="Arial" w:cs="Arial"/>
        </w:rPr>
      </w:pPr>
      <w:r>
        <w:rPr>
          <w:rFonts w:ascii="Arial" w:eastAsia="Arial" w:hAnsi="Arial" w:cs="Arial"/>
          <w:b/>
          <w:bCs/>
        </w:rPr>
        <w:t>Artículo 54</w:t>
      </w:r>
      <w:r w:rsidRPr="00BD39E2">
        <w:rPr>
          <w:rFonts w:ascii="Arial" w:eastAsia="Arial" w:hAnsi="Arial" w:cs="Arial"/>
          <w:b/>
        </w:rPr>
        <w:t>.-</w:t>
      </w:r>
      <w:r>
        <w:rPr>
          <w:rFonts w:ascii="Arial" w:eastAsia="Arial" w:hAnsi="Arial" w:cs="Arial"/>
        </w:rPr>
        <w:t xml:space="preserve"> </w:t>
      </w:r>
      <w:r w:rsidR="00B870AB">
        <w:rPr>
          <w:rFonts w:ascii="Arial" w:eastAsia="Arial" w:hAnsi="Arial" w:cs="Arial"/>
        </w:rPr>
        <w:t>…</w:t>
      </w:r>
    </w:p>
    <w:p w14:paraId="5F07E1B7" w14:textId="77777777" w:rsidR="001D5002" w:rsidRDefault="001D5002">
      <w:pPr>
        <w:rPr>
          <w:rFonts w:ascii="Arial" w:eastAsia="Arial" w:hAnsi="Arial" w:cs="Arial"/>
        </w:rPr>
      </w:pPr>
    </w:p>
    <w:p w14:paraId="4C6B0617" w14:textId="77777777" w:rsidR="001D5002" w:rsidRDefault="00B870AB">
      <w:pPr>
        <w:spacing w:line="360" w:lineRule="auto"/>
        <w:jc w:val="both"/>
        <w:rPr>
          <w:rFonts w:ascii="Arial" w:eastAsia="Arial" w:hAnsi="Arial" w:cs="Arial"/>
        </w:rPr>
      </w:pPr>
      <w:r>
        <w:rPr>
          <w:rFonts w:ascii="Arial" w:eastAsia="Arial" w:hAnsi="Arial" w:cs="Arial"/>
        </w:rPr>
        <w:t>…</w:t>
      </w:r>
    </w:p>
    <w:p w14:paraId="40D58DAD" w14:textId="77777777" w:rsidR="001D5002" w:rsidRDefault="001D5002">
      <w:pPr>
        <w:spacing w:line="360" w:lineRule="auto"/>
        <w:jc w:val="both"/>
        <w:rPr>
          <w:rFonts w:ascii="Arial" w:eastAsia="Arial" w:hAnsi="Arial" w:cs="Arial"/>
        </w:rPr>
      </w:pPr>
    </w:p>
    <w:p w14:paraId="5BA90036" w14:textId="002D5834" w:rsidR="001D5002" w:rsidRDefault="00B870AB">
      <w:pPr>
        <w:spacing w:line="360" w:lineRule="auto"/>
        <w:jc w:val="both"/>
        <w:rPr>
          <w:rFonts w:ascii="Arial" w:eastAsia="Arial" w:hAnsi="Arial" w:cs="Arial"/>
        </w:rPr>
      </w:pPr>
      <w:r w:rsidRPr="00BD39E2">
        <w:rPr>
          <w:rFonts w:ascii="Arial" w:eastAsia="Arial" w:hAnsi="Arial" w:cs="Arial"/>
        </w:rPr>
        <w:t xml:space="preserve">El Orden del día de las sesiones y los documentos que correspondan, se notificará vía electrónica a las y los diputados y se pondrán a disposición en la Gaceta Parlamentaria, cuando menos 24 horas antes de las sesiones del Pleno; </w:t>
      </w:r>
      <w:r w:rsidRPr="00BD39E2">
        <w:rPr>
          <w:rFonts w:ascii="Arial" w:eastAsia="Arial" w:hAnsi="Arial" w:cs="Arial"/>
          <w:b/>
          <w:bCs/>
        </w:rPr>
        <w:t xml:space="preserve">salvo que sean Sesiones Extraordinarias, en cuyo caso la </w:t>
      </w:r>
      <w:r w:rsidR="00C03DD4">
        <w:rPr>
          <w:rFonts w:ascii="Arial" w:eastAsia="Arial" w:hAnsi="Arial" w:cs="Arial"/>
          <w:b/>
          <w:bCs/>
        </w:rPr>
        <w:t xml:space="preserve">notificación será </w:t>
      </w:r>
      <w:r w:rsidR="00F95822">
        <w:rPr>
          <w:rFonts w:ascii="Arial" w:eastAsia="Arial" w:hAnsi="Arial" w:cs="Arial"/>
          <w:b/>
          <w:bCs/>
        </w:rPr>
        <w:t>en un término razonable para poder llevar a cabo dicha sesión</w:t>
      </w:r>
      <w:r w:rsidRPr="00BD39E2">
        <w:rPr>
          <w:rFonts w:ascii="Arial" w:eastAsia="Arial" w:hAnsi="Arial" w:cs="Arial"/>
          <w:b/>
          <w:bCs/>
        </w:rPr>
        <w:t>.</w:t>
      </w:r>
      <w:r w:rsidRPr="00BD39E2">
        <w:rPr>
          <w:rFonts w:ascii="Arial" w:eastAsia="Arial" w:hAnsi="Arial" w:cs="Arial"/>
        </w:rPr>
        <w:t xml:space="preserve"> Para el cumplimiento de los plazos referidos no se contarán días inhábiles. Asimismo, el Orden del día, sólo podrá ser modificado por el Presidente o Presidenta de la Mesa Directiva antes del inicio de la sesión.</w:t>
      </w:r>
    </w:p>
    <w:p w14:paraId="7D79F3B3" w14:textId="77777777" w:rsidR="001D5002" w:rsidRDefault="001D5002">
      <w:pPr>
        <w:rPr>
          <w:rFonts w:ascii="Arial" w:eastAsia="Arial" w:hAnsi="Arial" w:cs="Arial"/>
        </w:rPr>
      </w:pPr>
    </w:p>
    <w:p w14:paraId="4A87234C" w14:textId="77777777" w:rsidR="001D5002" w:rsidRDefault="00B870AB">
      <w:pPr>
        <w:spacing w:line="360" w:lineRule="auto"/>
        <w:jc w:val="both"/>
        <w:rPr>
          <w:rFonts w:ascii="Arial" w:eastAsia="Arial" w:hAnsi="Arial" w:cs="Arial"/>
        </w:rPr>
      </w:pPr>
      <w:r>
        <w:rPr>
          <w:rFonts w:ascii="Arial" w:eastAsia="Arial" w:hAnsi="Arial" w:cs="Arial"/>
          <w:b/>
          <w:bCs/>
        </w:rPr>
        <w:t>Artículo 68.-</w:t>
      </w:r>
      <w:r>
        <w:rPr>
          <w:rFonts w:ascii="Arial" w:eastAsia="Arial" w:hAnsi="Arial" w:cs="Arial"/>
        </w:rPr>
        <w:t xml:space="preserve"> …</w:t>
      </w:r>
    </w:p>
    <w:p w14:paraId="3D61EB75" w14:textId="77777777" w:rsidR="001D5002" w:rsidRDefault="001D5002">
      <w:pPr>
        <w:spacing w:line="360" w:lineRule="auto"/>
        <w:jc w:val="both"/>
        <w:rPr>
          <w:rFonts w:ascii="Arial" w:eastAsia="Arial" w:hAnsi="Arial" w:cs="Arial"/>
        </w:rPr>
      </w:pPr>
    </w:p>
    <w:p w14:paraId="7092C0F7" w14:textId="77777777" w:rsidR="001D5002" w:rsidRDefault="00B870AB">
      <w:pPr>
        <w:spacing w:line="360" w:lineRule="auto"/>
        <w:jc w:val="both"/>
        <w:rPr>
          <w:rFonts w:ascii="Arial" w:eastAsia="Arial" w:hAnsi="Arial" w:cs="Arial"/>
        </w:rPr>
      </w:pPr>
      <w:r w:rsidRPr="00BD39E2">
        <w:rPr>
          <w:rFonts w:ascii="Arial" w:eastAsia="Arial" w:hAnsi="Arial" w:cs="Arial"/>
        </w:rPr>
        <w:t xml:space="preserve">Si durante los asuntos generales se presentara una iniciativa o una propuesta de acuerdo, su autor podrá hacer uso de la voz hasta por </w:t>
      </w:r>
      <w:r w:rsidRPr="00BD39E2">
        <w:rPr>
          <w:rFonts w:ascii="Arial" w:eastAsia="Arial" w:hAnsi="Arial" w:cs="Arial"/>
          <w:b/>
          <w:bCs/>
        </w:rPr>
        <w:t>diez</w:t>
      </w:r>
      <w:r w:rsidRPr="00BD39E2">
        <w:rPr>
          <w:rFonts w:ascii="Arial" w:eastAsia="Arial" w:hAnsi="Arial" w:cs="Arial"/>
        </w:rPr>
        <w:t xml:space="preserve"> minutos y hasta por </w:t>
      </w:r>
      <w:r w:rsidRPr="00BD39E2">
        <w:rPr>
          <w:rFonts w:ascii="Arial" w:eastAsia="Arial" w:hAnsi="Arial" w:cs="Arial"/>
          <w:b/>
          <w:bCs/>
        </w:rPr>
        <w:t xml:space="preserve">cinco </w:t>
      </w:r>
      <w:r w:rsidRPr="00BD39E2">
        <w:rPr>
          <w:rFonts w:ascii="Arial" w:eastAsia="Arial" w:hAnsi="Arial" w:cs="Arial"/>
        </w:rPr>
        <w:t>minutos, respectivamente. A ninguna iniciativa o propuesta de acuerdo integrada al orden del día se le dará lectura, salvo que el autor de la misma lo solicite, siendo aprobado por la mayoría del Pleno.</w:t>
      </w:r>
      <w:r>
        <w:rPr>
          <w:rFonts w:ascii="Arial" w:eastAsia="Arial" w:hAnsi="Arial" w:cs="Arial"/>
        </w:rPr>
        <w:t xml:space="preserve">  </w:t>
      </w:r>
    </w:p>
    <w:p w14:paraId="4901BF49" w14:textId="77777777" w:rsidR="001D5002" w:rsidRDefault="00B870AB">
      <w:pPr>
        <w:spacing w:line="360" w:lineRule="auto"/>
        <w:rPr>
          <w:rFonts w:ascii="Arial" w:eastAsia="Arial" w:hAnsi="Arial" w:cs="Arial"/>
        </w:rPr>
      </w:pPr>
      <w:r>
        <w:rPr>
          <w:rFonts w:ascii="Arial" w:eastAsia="Arial" w:hAnsi="Arial" w:cs="Arial"/>
        </w:rPr>
        <w:t>…</w:t>
      </w:r>
    </w:p>
    <w:p w14:paraId="63144196" w14:textId="77777777" w:rsidR="001D5002" w:rsidRDefault="00B870AB">
      <w:pPr>
        <w:spacing w:line="360" w:lineRule="auto"/>
        <w:rPr>
          <w:rFonts w:ascii="Arial" w:eastAsia="Arial" w:hAnsi="Arial" w:cs="Arial"/>
        </w:rPr>
      </w:pPr>
      <w:r>
        <w:rPr>
          <w:rFonts w:ascii="Arial" w:eastAsia="Arial" w:hAnsi="Arial" w:cs="Arial"/>
        </w:rPr>
        <w:t>…</w:t>
      </w:r>
    </w:p>
    <w:p w14:paraId="1B25112E" w14:textId="77777777" w:rsidR="001D5002" w:rsidRDefault="00B870AB">
      <w:pPr>
        <w:spacing w:line="360" w:lineRule="auto"/>
        <w:rPr>
          <w:rFonts w:ascii="Arial" w:eastAsia="Arial" w:hAnsi="Arial" w:cs="Arial"/>
        </w:rPr>
      </w:pPr>
      <w:r>
        <w:rPr>
          <w:rFonts w:ascii="Arial" w:eastAsia="Arial" w:hAnsi="Arial" w:cs="Arial"/>
        </w:rPr>
        <w:t>…</w:t>
      </w:r>
    </w:p>
    <w:p w14:paraId="7810C496" w14:textId="77777777" w:rsidR="001D5002" w:rsidRDefault="00B870AB">
      <w:pPr>
        <w:spacing w:line="360" w:lineRule="auto"/>
        <w:rPr>
          <w:rFonts w:ascii="Arial" w:eastAsia="Arial" w:hAnsi="Arial" w:cs="Arial"/>
        </w:rPr>
      </w:pPr>
      <w:r>
        <w:rPr>
          <w:rFonts w:ascii="Arial" w:eastAsia="Arial" w:hAnsi="Arial" w:cs="Arial"/>
        </w:rPr>
        <w:t>…</w:t>
      </w:r>
    </w:p>
    <w:p w14:paraId="36529525" w14:textId="77777777" w:rsidR="001D5002" w:rsidRDefault="001D5002">
      <w:pPr>
        <w:rPr>
          <w:rFonts w:ascii="Arial" w:eastAsia="Arial" w:hAnsi="Arial" w:cs="Arial"/>
        </w:rPr>
      </w:pPr>
    </w:p>
    <w:p w14:paraId="19308097" w14:textId="77777777" w:rsidR="001D5002" w:rsidRDefault="00B870AB">
      <w:pPr>
        <w:spacing w:line="360" w:lineRule="auto"/>
        <w:jc w:val="both"/>
        <w:rPr>
          <w:rFonts w:ascii="Arial" w:eastAsia="Arial" w:hAnsi="Arial" w:cs="Arial"/>
        </w:rPr>
      </w:pPr>
      <w:r>
        <w:rPr>
          <w:rFonts w:ascii="Arial" w:eastAsia="Arial" w:hAnsi="Arial" w:cs="Arial"/>
          <w:b/>
          <w:bCs/>
        </w:rPr>
        <w:t>Artículo 71.-</w:t>
      </w:r>
      <w:r>
        <w:rPr>
          <w:rFonts w:ascii="Arial" w:eastAsia="Arial" w:hAnsi="Arial" w:cs="Arial"/>
        </w:rPr>
        <w:t xml:space="preserve"> …</w:t>
      </w:r>
    </w:p>
    <w:p w14:paraId="74C1D3A7" w14:textId="77777777" w:rsidR="001D5002" w:rsidRDefault="001D5002">
      <w:pPr>
        <w:spacing w:line="360" w:lineRule="auto"/>
        <w:jc w:val="both"/>
        <w:rPr>
          <w:rFonts w:ascii="Arial" w:eastAsia="Arial" w:hAnsi="Arial" w:cs="Arial"/>
        </w:rPr>
      </w:pPr>
    </w:p>
    <w:p w14:paraId="4AE1B3B7" w14:textId="77777777" w:rsidR="001D5002" w:rsidRDefault="00B870AB">
      <w:pPr>
        <w:spacing w:line="360" w:lineRule="auto"/>
        <w:jc w:val="both"/>
        <w:rPr>
          <w:rFonts w:ascii="Arial" w:eastAsia="Arial" w:hAnsi="Arial" w:cs="Arial"/>
        </w:rPr>
      </w:pPr>
      <w:r>
        <w:rPr>
          <w:rFonts w:ascii="Arial" w:eastAsia="Arial" w:hAnsi="Arial" w:cs="Arial"/>
          <w:b/>
          <w:bCs/>
        </w:rPr>
        <w:t>I.-</w:t>
      </w:r>
      <w:r>
        <w:rPr>
          <w:rFonts w:ascii="Arial" w:eastAsia="Arial" w:hAnsi="Arial" w:cs="Arial"/>
        </w:rPr>
        <w:t xml:space="preserve"> Minutas federales, </w:t>
      </w:r>
      <w:r>
        <w:rPr>
          <w:rFonts w:ascii="Arial" w:eastAsia="Arial" w:hAnsi="Arial" w:cs="Arial"/>
          <w:b/>
          <w:bCs/>
        </w:rPr>
        <w:t xml:space="preserve">en términos de lo dispuesto artículo 17 Ter </w:t>
      </w:r>
      <w:r>
        <w:rPr>
          <w:rFonts w:ascii="Arial" w:eastAsia="Arial" w:hAnsi="Arial" w:cs="Arial"/>
        </w:rPr>
        <w:t>de</w:t>
      </w:r>
      <w:r>
        <w:rPr>
          <w:rFonts w:ascii="Arial" w:eastAsia="Arial" w:hAnsi="Arial" w:cs="Arial"/>
          <w:b/>
          <w:bCs/>
        </w:rPr>
        <w:t xml:space="preserve"> </w:t>
      </w:r>
      <w:r>
        <w:rPr>
          <w:rFonts w:ascii="Arial" w:eastAsia="Arial" w:hAnsi="Arial" w:cs="Arial"/>
        </w:rPr>
        <w:t>la Ley de Gobierno del Poder Legislativo del Estado de Yucatán;</w:t>
      </w:r>
    </w:p>
    <w:p w14:paraId="4FB84BAC" w14:textId="77777777" w:rsidR="001D5002" w:rsidRDefault="001D5002">
      <w:pPr>
        <w:spacing w:line="360" w:lineRule="auto"/>
        <w:jc w:val="both"/>
        <w:rPr>
          <w:rFonts w:ascii="Arial" w:eastAsia="Arial" w:hAnsi="Arial" w:cs="Arial"/>
        </w:rPr>
      </w:pPr>
    </w:p>
    <w:p w14:paraId="6C3BD74E" w14:textId="77777777" w:rsidR="001D5002" w:rsidRDefault="00B870AB">
      <w:pPr>
        <w:spacing w:line="360" w:lineRule="auto"/>
        <w:jc w:val="both"/>
        <w:rPr>
          <w:rFonts w:ascii="Arial" w:eastAsia="Arial" w:hAnsi="Arial" w:cs="Arial"/>
        </w:rPr>
      </w:pPr>
      <w:r>
        <w:rPr>
          <w:rFonts w:ascii="Arial" w:eastAsia="Arial" w:hAnsi="Arial" w:cs="Arial"/>
          <w:b/>
          <w:bCs/>
        </w:rPr>
        <w:t>II.</w:t>
      </w:r>
      <w:r>
        <w:rPr>
          <w:rFonts w:ascii="Arial" w:eastAsia="Arial" w:hAnsi="Arial" w:cs="Arial"/>
        </w:rPr>
        <w:t xml:space="preserve"> a la </w:t>
      </w:r>
      <w:r>
        <w:rPr>
          <w:rFonts w:ascii="Arial" w:eastAsia="Arial" w:hAnsi="Arial" w:cs="Arial"/>
          <w:b/>
          <w:bCs/>
        </w:rPr>
        <w:t xml:space="preserve">VI. </w:t>
      </w:r>
      <w:r>
        <w:rPr>
          <w:rFonts w:ascii="Arial" w:eastAsia="Arial" w:hAnsi="Arial" w:cs="Arial"/>
        </w:rPr>
        <w:t>…</w:t>
      </w:r>
    </w:p>
    <w:p w14:paraId="4EBFB2A9" w14:textId="77777777" w:rsidR="001D5002" w:rsidRDefault="001D5002">
      <w:pPr>
        <w:spacing w:line="360" w:lineRule="auto"/>
        <w:jc w:val="both"/>
        <w:rPr>
          <w:rFonts w:ascii="Arial" w:eastAsia="Arial" w:hAnsi="Arial" w:cs="Arial"/>
        </w:rPr>
      </w:pPr>
    </w:p>
    <w:p w14:paraId="2B35E9D1" w14:textId="77777777" w:rsidR="001D5002" w:rsidRDefault="00B870AB">
      <w:pPr>
        <w:spacing w:line="360" w:lineRule="auto"/>
        <w:jc w:val="both"/>
        <w:rPr>
          <w:rFonts w:ascii="Arial" w:eastAsia="Arial" w:hAnsi="Arial" w:cs="Arial"/>
        </w:rPr>
      </w:pPr>
      <w:r>
        <w:rPr>
          <w:rFonts w:ascii="Arial" w:eastAsia="Arial" w:hAnsi="Arial" w:cs="Arial"/>
        </w:rPr>
        <w:t>…</w:t>
      </w:r>
    </w:p>
    <w:p w14:paraId="4E57CA65" w14:textId="77777777" w:rsidR="001D5002" w:rsidRDefault="001D5002">
      <w:pPr>
        <w:spacing w:line="360" w:lineRule="auto"/>
        <w:jc w:val="both"/>
        <w:rPr>
          <w:rFonts w:ascii="Arial" w:eastAsia="Arial" w:hAnsi="Arial" w:cs="Arial"/>
        </w:rPr>
      </w:pPr>
    </w:p>
    <w:p w14:paraId="18FC6BDF" w14:textId="77777777" w:rsidR="001D5002" w:rsidRDefault="00B870AB">
      <w:pPr>
        <w:spacing w:line="360" w:lineRule="auto"/>
        <w:jc w:val="both"/>
        <w:rPr>
          <w:rFonts w:ascii="Arial" w:eastAsia="Arial" w:hAnsi="Arial" w:cs="Arial"/>
        </w:rPr>
      </w:pPr>
      <w:r>
        <w:rPr>
          <w:rFonts w:ascii="Arial" w:eastAsia="Arial" w:hAnsi="Arial" w:cs="Arial"/>
          <w:b/>
          <w:bCs/>
        </w:rPr>
        <w:t>Artículo 82.-</w:t>
      </w:r>
      <w:r>
        <w:rPr>
          <w:rFonts w:ascii="Arial" w:eastAsia="Arial" w:hAnsi="Arial" w:cs="Arial"/>
        </w:rPr>
        <w:t xml:space="preserve"> …</w:t>
      </w:r>
    </w:p>
    <w:p w14:paraId="26C3020F" w14:textId="77777777" w:rsidR="001D5002" w:rsidRDefault="00B870AB">
      <w:pPr>
        <w:spacing w:line="360" w:lineRule="auto"/>
        <w:jc w:val="both"/>
        <w:rPr>
          <w:rFonts w:ascii="Arial" w:eastAsia="Arial" w:hAnsi="Arial" w:cs="Arial"/>
        </w:rPr>
      </w:pPr>
      <w:r>
        <w:rPr>
          <w:rFonts w:ascii="Arial" w:eastAsia="Arial" w:hAnsi="Arial" w:cs="Arial"/>
        </w:rPr>
        <w:t>Fracciones de la</w:t>
      </w:r>
      <w:r>
        <w:rPr>
          <w:rFonts w:ascii="Arial" w:eastAsia="Arial" w:hAnsi="Arial" w:cs="Arial"/>
          <w:b/>
          <w:bCs/>
        </w:rPr>
        <w:t xml:space="preserve"> I. </w:t>
      </w:r>
      <w:r>
        <w:rPr>
          <w:rFonts w:ascii="Arial" w:eastAsia="Arial" w:hAnsi="Arial" w:cs="Arial"/>
        </w:rPr>
        <w:t>a la</w:t>
      </w:r>
      <w:r>
        <w:rPr>
          <w:rFonts w:ascii="Arial" w:eastAsia="Arial" w:hAnsi="Arial" w:cs="Arial"/>
          <w:b/>
          <w:bCs/>
        </w:rPr>
        <w:t xml:space="preserve"> VII.</w:t>
      </w:r>
    </w:p>
    <w:p w14:paraId="2232CE32" w14:textId="77777777" w:rsidR="001D5002" w:rsidRDefault="00B870AB">
      <w:pPr>
        <w:spacing w:line="360" w:lineRule="auto"/>
        <w:jc w:val="both"/>
        <w:rPr>
          <w:rFonts w:ascii="Arial" w:eastAsia="Arial" w:hAnsi="Arial" w:cs="Arial"/>
        </w:rPr>
      </w:pPr>
      <w:r>
        <w:rPr>
          <w:rFonts w:ascii="Arial" w:eastAsia="Arial" w:hAnsi="Arial" w:cs="Arial"/>
        </w:rPr>
        <w:t>…</w:t>
      </w:r>
    </w:p>
    <w:p w14:paraId="121D185A" w14:textId="77777777" w:rsidR="001D5002" w:rsidRDefault="00B870AB">
      <w:pPr>
        <w:spacing w:line="360" w:lineRule="auto"/>
        <w:jc w:val="both"/>
        <w:rPr>
          <w:rFonts w:ascii="Arial" w:eastAsia="Arial" w:hAnsi="Arial" w:cs="Arial"/>
        </w:rPr>
      </w:pPr>
      <w:r>
        <w:rPr>
          <w:rFonts w:ascii="Arial" w:eastAsia="Arial" w:hAnsi="Arial" w:cs="Arial"/>
        </w:rPr>
        <w:t>…</w:t>
      </w:r>
    </w:p>
    <w:p w14:paraId="013BF36A" w14:textId="77777777" w:rsidR="001D5002" w:rsidRDefault="00B870AB">
      <w:pPr>
        <w:spacing w:line="360" w:lineRule="auto"/>
        <w:jc w:val="both"/>
        <w:rPr>
          <w:rFonts w:ascii="Arial" w:eastAsia="Arial" w:hAnsi="Arial" w:cs="Arial"/>
        </w:rPr>
      </w:pPr>
      <w:r>
        <w:rPr>
          <w:rFonts w:ascii="Arial" w:eastAsia="Arial" w:hAnsi="Arial" w:cs="Arial"/>
        </w:rPr>
        <w:t>…</w:t>
      </w:r>
    </w:p>
    <w:p w14:paraId="73F5DE41" w14:textId="77777777" w:rsidR="001D5002" w:rsidRDefault="001D5002">
      <w:pPr>
        <w:spacing w:line="360" w:lineRule="auto"/>
        <w:jc w:val="both"/>
        <w:rPr>
          <w:rFonts w:ascii="Arial" w:eastAsia="Arial" w:hAnsi="Arial" w:cs="Arial"/>
        </w:rPr>
      </w:pPr>
    </w:p>
    <w:p w14:paraId="3A5C5F06" w14:textId="77777777" w:rsidR="001D5002" w:rsidRDefault="00B870AB">
      <w:pPr>
        <w:spacing w:line="360" w:lineRule="auto"/>
        <w:jc w:val="both"/>
        <w:rPr>
          <w:rFonts w:ascii="Arial" w:eastAsia="Arial" w:hAnsi="Arial" w:cs="Arial"/>
          <w:color w:val="080808"/>
        </w:rPr>
      </w:pPr>
      <w:r>
        <w:rPr>
          <w:rFonts w:ascii="Arial" w:eastAsia="Arial" w:hAnsi="Arial" w:cs="Arial"/>
          <w:b/>
          <w:bCs/>
        </w:rPr>
        <w:t xml:space="preserve">VIII. Las minutas que contengan reformas a la Constitución Política de los Estados Unidos Mexicanos </w:t>
      </w:r>
      <w:r>
        <w:rPr>
          <w:rFonts w:ascii="Arial" w:eastAsia="Arial" w:hAnsi="Arial" w:cs="Arial"/>
          <w:b/>
          <w:bCs/>
          <w:color w:val="080808"/>
        </w:rPr>
        <w:t xml:space="preserve">remitidas al Congreso del estado por las Cámaras de Diputados o Senadores del Honorable Congreso de la Unión, serán distribuidas inmediatamente de manera digital a través de la Gaceta Parlamentaria en la página oficial del Poder Legislativo, correo electrónico institucional, medios electrónicos o de manera física, con la finalidad de ser sometidas a discusión y votación del </w:t>
      </w:r>
      <w:r w:rsidRPr="00EF5E3E">
        <w:rPr>
          <w:rFonts w:ascii="Arial" w:eastAsia="Arial" w:hAnsi="Arial" w:cs="Arial"/>
          <w:b/>
          <w:bCs/>
          <w:color w:val="080808"/>
        </w:rPr>
        <w:t>Pleno en la sesión que para tal fin determine la presidencia de la Mesa Directiva</w:t>
      </w:r>
      <w:r w:rsidRPr="00EF5E3E">
        <w:rPr>
          <w:rFonts w:ascii="Arial" w:eastAsia="Arial" w:hAnsi="Arial" w:cs="Arial"/>
          <w:color w:val="080808"/>
        </w:rPr>
        <w:t xml:space="preserve">, </w:t>
      </w:r>
      <w:r w:rsidRPr="00EF5E3E">
        <w:rPr>
          <w:rFonts w:ascii="Arial" w:eastAsia="Arial" w:hAnsi="Arial" w:cs="Arial"/>
          <w:b/>
          <w:bCs/>
          <w:color w:val="080808"/>
        </w:rPr>
        <w:t>en términos de lo previsto en el artículo 17 Ter de la Ley de Gobierno del Poder Legislativo del Gobierno del Estado de Yucatán.</w:t>
      </w:r>
    </w:p>
    <w:p w14:paraId="04B62E7E" w14:textId="77777777" w:rsidR="001D5002" w:rsidRDefault="001D5002">
      <w:pPr>
        <w:spacing w:line="360" w:lineRule="auto"/>
        <w:jc w:val="both"/>
        <w:rPr>
          <w:rFonts w:ascii="Arial" w:eastAsia="Arial" w:hAnsi="Arial" w:cs="Arial"/>
        </w:rPr>
      </w:pPr>
    </w:p>
    <w:p w14:paraId="5C224BEC" w14:textId="77777777" w:rsidR="001D5002" w:rsidRDefault="00B870AB">
      <w:pPr>
        <w:spacing w:line="360" w:lineRule="auto"/>
        <w:jc w:val="both"/>
        <w:rPr>
          <w:rFonts w:ascii="Arial" w:eastAsia="Arial" w:hAnsi="Arial" w:cs="Arial"/>
        </w:rPr>
      </w:pPr>
      <w:r>
        <w:rPr>
          <w:rFonts w:ascii="Arial" w:eastAsia="Arial" w:hAnsi="Arial" w:cs="Arial"/>
          <w:b/>
          <w:bCs/>
        </w:rPr>
        <w:t>Artículo 88.-</w:t>
      </w:r>
      <w:r>
        <w:rPr>
          <w:rFonts w:ascii="Arial" w:eastAsia="Arial" w:hAnsi="Arial" w:cs="Arial"/>
        </w:rPr>
        <w:t xml:space="preserve"> Las discusiones sólo pueden producirse:</w:t>
      </w:r>
    </w:p>
    <w:p w14:paraId="2AC786C2" w14:textId="77777777" w:rsidR="001D5002" w:rsidRDefault="001D5002">
      <w:pPr>
        <w:spacing w:line="360" w:lineRule="auto"/>
        <w:jc w:val="both"/>
        <w:rPr>
          <w:rFonts w:ascii="Arial" w:eastAsia="Arial" w:hAnsi="Arial" w:cs="Arial"/>
        </w:rPr>
      </w:pPr>
    </w:p>
    <w:p w14:paraId="43899B24" w14:textId="77777777" w:rsidR="001D5002" w:rsidRDefault="00B870AB">
      <w:pPr>
        <w:spacing w:line="360" w:lineRule="auto"/>
        <w:jc w:val="both"/>
        <w:rPr>
          <w:rFonts w:ascii="Arial" w:eastAsia="Arial" w:hAnsi="Arial" w:cs="Arial"/>
        </w:rPr>
      </w:pPr>
      <w:r>
        <w:rPr>
          <w:rFonts w:ascii="Arial" w:eastAsia="Arial" w:hAnsi="Arial" w:cs="Arial"/>
          <w:b/>
          <w:bCs/>
        </w:rPr>
        <w:t>I.-</w:t>
      </w:r>
      <w:r>
        <w:rPr>
          <w:rFonts w:ascii="Arial" w:eastAsia="Arial" w:hAnsi="Arial" w:cs="Arial"/>
        </w:rPr>
        <w:t xml:space="preserve"> Por el acta o por la síntesis del acta, según sea el caso;</w:t>
      </w:r>
    </w:p>
    <w:p w14:paraId="111185AE" w14:textId="77777777" w:rsidR="001D5002" w:rsidRDefault="00B870AB">
      <w:pPr>
        <w:spacing w:line="360" w:lineRule="auto"/>
        <w:jc w:val="both"/>
        <w:rPr>
          <w:rFonts w:ascii="Arial" w:eastAsia="Arial" w:hAnsi="Arial" w:cs="Arial"/>
        </w:rPr>
      </w:pPr>
      <w:r>
        <w:rPr>
          <w:rFonts w:ascii="Arial" w:eastAsia="Arial" w:hAnsi="Arial" w:cs="Arial"/>
          <w:b/>
          <w:bCs/>
        </w:rPr>
        <w:t>II.-</w:t>
      </w:r>
      <w:r>
        <w:rPr>
          <w:rFonts w:ascii="Arial" w:eastAsia="Arial" w:hAnsi="Arial" w:cs="Arial"/>
        </w:rPr>
        <w:t xml:space="preserve"> Por los trámites;</w:t>
      </w:r>
    </w:p>
    <w:p w14:paraId="68421044" w14:textId="77777777" w:rsidR="001D5002" w:rsidRDefault="00B870AB">
      <w:pPr>
        <w:spacing w:line="360" w:lineRule="auto"/>
        <w:jc w:val="both"/>
        <w:rPr>
          <w:rFonts w:ascii="Arial" w:eastAsia="Arial" w:hAnsi="Arial" w:cs="Arial"/>
        </w:rPr>
      </w:pPr>
      <w:r>
        <w:rPr>
          <w:rFonts w:ascii="Arial" w:eastAsia="Arial" w:hAnsi="Arial" w:cs="Arial"/>
          <w:b/>
          <w:bCs/>
        </w:rPr>
        <w:t>III.-</w:t>
      </w:r>
      <w:r>
        <w:rPr>
          <w:rFonts w:ascii="Arial" w:eastAsia="Arial" w:hAnsi="Arial" w:cs="Arial"/>
        </w:rPr>
        <w:t xml:space="preserve"> Por los dictámenes o votos particulares;</w:t>
      </w:r>
    </w:p>
    <w:p w14:paraId="4976F96A" w14:textId="77777777" w:rsidR="001D5002" w:rsidRDefault="00B870AB">
      <w:pPr>
        <w:spacing w:line="360" w:lineRule="auto"/>
        <w:jc w:val="both"/>
        <w:rPr>
          <w:rFonts w:ascii="Arial" w:eastAsia="Arial" w:hAnsi="Arial" w:cs="Arial"/>
        </w:rPr>
      </w:pPr>
      <w:r>
        <w:rPr>
          <w:rFonts w:ascii="Arial" w:eastAsia="Arial" w:hAnsi="Arial" w:cs="Arial"/>
          <w:b/>
          <w:bCs/>
        </w:rPr>
        <w:t>IV.-</w:t>
      </w:r>
      <w:r>
        <w:rPr>
          <w:rFonts w:ascii="Arial" w:eastAsia="Arial" w:hAnsi="Arial" w:cs="Arial"/>
        </w:rPr>
        <w:t xml:space="preserve"> Por las solicitudes suspensivas aprobadas;</w:t>
      </w:r>
    </w:p>
    <w:p w14:paraId="744B22E2" w14:textId="77777777" w:rsidR="001D5002" w:rsidRDefault="00B870AB">
      <w:pPr>
        <w:spacing w:line="360" w:lineRule="auto"/>
        <w:jc w:val="both"/>
        <w:rPr>
          <w:rFonts w:ascii="Arial" w:eastAsia="Arial" w:hAnsi="Arial" w:cs="Arial"/>
        </w:rPr>
      </w:pPr>
      <w:r>
        <w:rPr>
          <w:rFonts w:ascii="Arial" w:eastAsia="Arial" w:hAnsi="Arial" w:cs="Arial"/>
          <w:b/>
          <w:bCs/>
        </w:rPr>
        <w:t>V.-</w:t>
      </w:r>
      <w:r>
        <w:rPr>
          <w:rFonts w:ascii="Arial" w:eastAsia="Arial" w:hAnsi="Arial" w:cs="Arial"/>
        </w:rPr>
        <w:t xml:space="preserve"> Por los proyectos de leyes, decretos o acuerdos, y </w:t>
      </w:r>
    </w:p>
    <w:p w14:paraId="01862DF8" w14:textId="77777777" w:rsidR="001D5002" w:rsidRDefault="00B870AB">
      <w:pPr>
        <w:spacing w:line="360" w:lineRule="auto"/>
        <w:jc w:val="both"/>
        <w:rPr>
          <w:rFonts w:ascii="Arial" w:eastAsia="Arial" w:hAnsi="Arial" w:cs="Arial"/>
        </w:rPr>
      </w:pPr>
      <w:r>
        <w:rPr>
          <w:rFonts w:ascii="Arial" w:eastAsia="Arial" w:hAnsi="Arial" w:cs="Arial"/>
          <w:b/>
          <w:bCs/>
        </w:rPr>
        <w:t>VI. Por las minutas que contengan reformas a la Constitución Política de los Estados Unidos Mexicanos</w:t>
      </w:r>
      <w:r>
        <w:rPr>
          <w:rFonts w:ascii="Arial" w:eastAsia="Arial" w:hAnsi="Arial" w:cs="Arial"/>
        </w:rPr>
        <w:t>.</w:t>
      </w:r>
    </w:p>
    <w:p w14:paraId="139E2BEF" w14:textId="77777777" w:rsidR="001D5002" w:rsidRDefault="001D5002">
      <w:pPr>
        <w:spacing w:line="360" w:lineRule="auto"/>
        <w:jc w:val="both"/>
        <w:rPr>
          <w:rFonts w:ascii="Arial" w:eastAsia="Arial" w:hAnsi="Arial" w:cs="Arial"/>
        </w:rPr>
      </w:pPr>
    </w:p>
    <w:p w14:paraId="36082314" w14:textId="77777777" w:rsidR="001D5002" w:rsidRDefault="00B870AB">
      <w:pPr>
        <w:spacing w:line="360" w:lineRule="auto"/>
        <w:jc w:val="both"/>
        <w:rPr>
          <w:rFonts w:ascii="Arial" w:eastAsia="Arial" w:hAnsi="Arial" w:cs="Arial"/>
        </w:rPr>
      </w:pPr>
      <w:r>
        <w:rPr>
          <w:rFonts w:ascii="Arial" w:eastAsia="Arial" w:hAnsi="Arial" w:cs="Arial"/>
          <w:b/>
          <w:bCs/>
        </w:rPr>
        <w:t>Artículo 95 Ter.-</w:t>
      </w:r>
      <w:r>
        <w:rPr>
          <w:rFonts w:ascii="Arial" w:eastAsia="Arial" w:hAnsi="Arial" w:cs="Arial"/>
        </w:rPr>
        <w:t xml:space="preserve"> Se deroga</w:t>
      </w:r>
    </w:p>
    <w:p w14:paraId="71367E88" w14:textId="77777777" w:rsidR="001D5002" w:rsidRDefault="001D5002">
      <w:pPr>
        <w:spacing w:line="360" w:lineRule="auto"/>
        <w:jc w:val="both"/>
        <w:rPr>
          <w:rFonts w:ascii="Arial" w:eastAsia="Arial" w:hAnsi="Arial" w:cs="Arial"/>
        </w:rPr>
      </w:pPr>
    </w:p>
    <w:p w14:paraId="52A11BD8" w14:textId="77777777" w:rsidR="001D5002" w:rsidRDefault="00B870AB">
      <w:pPr>
        <w:pBdr>
          <w:top w:val="nil"/>
          <w:left w:val="nil"/>
          <w:bottom w:val="nil"/>
          <w:right w:val="nil"/>
          <w:between w:val="nil"/>
        </w:pBdr>
        <w:spacing w:before="100" w:after="100" w:line="360" w:lineRule="auto"/>
        <w:jc w:val="both"/>
        <w:rPr>
          <w:rFonts w:ascii="Arial" w:eastAsia="Arial" w:hAnsi="Arial" w:cs="Arial"/>
          <w:color w:val="000000"/>
        </w:rPr>
      </w:pPr>
      <w:r>
        <w:rPr>
          <w:rFonts w:ascii="Arial" w:eastAsia="Arial" w:hAnsi="Arial" w:cs="Arial"/>
          <w:b/>
          <w:bCs/>
          <w:color w:val="000000"/>
        </w:rPr>
        <w:t>Artículo 98 Bis.-</w:t>
      </w:r>
      <w:r>
        <w:rPr>
          <w:rFonts w:ascii="Arial" w:eastAsia="Arial" w:hAnsi="Arial" w:cs="Arial"/>
          <w:color w:val="000000"/>
        </w:rPr>
        <w:t xml:space="preserve"> </w:t>
      </w:r>
      <w:r>
        <w:rPr>
          <w:rFonts w:ascii="Arial" w:eastAsia="Arial" w:hAnsi="Arial" w:cs="Arial"/>
          <w:b/>
          <w:bCs/>
          <w:color w:val="000000"/>
        </w:rPr>
        <w:t xml:space="preserve">La Presidencia de la Mesa Directiva podrá aplicar la práctica parlamentaria como criterio auxiliar para atender y dar trámite a las situaciones que permitan un mejor desarrollo, continuidad y fluidez de los actos parlamentarios en las sesiones del Pleno. </w:t>
      </w:r>
    </w:p>
    <w:p w14:paraId="09B611CD" w14:textId="77777777" w:rsidR="001D5002" w:rsidRDefault="001D5002">
      <w:pPr>
        <w:pBdr>
          <w:top w:val="nil"/>
          <w:left w:val="nil"/>
          <w:bottom w:val="nil"/>
          <w:right w:val="nil"/>
          <w:between w:val="nil"/>
        </w:pBdr>
        <w:spacing w:before="100" w:after="100" w:line="360" w:lineRule="auto"/>
        <w:jc w:val="both"/>
        <w:rPr>
          <w:rFonts w:ascii="Arial" w:eastAsia="Arial" w:hAnsi="Arial" w:cs="Arial"/>
          <w:color w:val="000000"/>
        </w:rPr>
      </w:pPr>
    </w:p>
    <w:p w14:paraId="28D5A144" w14:textId="77777777" w:rsidR="001D5002" w:rsidRDefault="00B870AB">
      <w:pPr>
        <w:pBdr>
          <w:top w:val="nil"/>
          <w:left w:val="nil"/>
          <w:bottom w:val="nil"/>
          <w:right w:val="nil"/>
          <w:between w:val="nil"/>
        </w:pBdr>
        <w:spacing w:before="100" w:after="100" w:line="360" w:lineRule="auto"/>
        <w:ind w:firstLine="708"/>
        <w:jc w:val="both"/>
        <w:rPr>
          <w:rFonts w:ascii="Arial" w:eastAsia="Arial" w:hAnsi="Arial" w:cs="Arial"/>
          <w:color w:val="000000"/>
        </w:rPr>
      </w:pPr>
      <w:r>
        <w:rPr>
          <w:rFonts w:ascii="Arial" w:eastAsia="Arial" w:hAnsi="Arial" w:cs="Arial"/>
          <w:b/>
          <w:bCs/>
          <w:color w:val="000000"/>
        </w:rPr>
        <w:t xml:space="preserve">Se entenderá por práctica parlamentaria el conjunto de acciones, usos y precedentes que permiten subsanar vacíos o lagunas de ley, así como para hacer más eficiente el trabajo legislativo. </w:t>
      </w:r>
    </w:p>
    <w:p w14:paraId="26988599" w14:textId="77777777" w:rsidR="001D5002" w:rsidRDefault="001D5002">
      <w:pPr>
        <w:pBdr>
          <w:top w:val="nil"/>
          <w:left w:val="nil"/>
          <w:bottom w:val="nil"/>
          <w:right w:val="nil"/>
          <w:between w:val="nil"/>
        </w:pBdr>
        <w:spacing w:before="100" w:after="100" w:line="360" w:lineRule="auto"/>
        <w:ind w:firstLine="708"/>
        <w:jc w:val="both"/>
        <w:rPr>
          <w:rFonts w:ascii="Arial" w:eastAsia="Arial" w:hAnsi="Arial" w:cs="Arial"/>
          <w:color w:val="000000"/>
        </w:rPr>
      </w:pPr>
    </w:p>
    <w:p w14:paraId="4449F488" w14:textId="77777777" w:rsidR="001D5002" w:rsidRDefault="00B870AB" w:rsidP="00114F40">
      <w:pPr>
        <w:pBdr>
          <w:top w:val="nil"/>
          <w:left w:val="nil"/>
          <w:bottom w:val="nil"/>
          <w:right w:val="nil"/>
          <w:between w:val="nil"/>
        </w:pBdr>
        <w:spacing w:before="100" w:after="100" w:line="360" w:lineRule="auto"/>
        <w:ind w:firstLine="708"/>
        <w:jc w:val="both"/>
        <w:rPr>
          <w:rFonts w:ascii="Arial" w:eastAsia="Arial" w:hAnsi="Arial" w:cs="Arial"/>
          <w:color w:val="000000"/>
        </w:rPr>
      </w:pPr>
      <w:r>
        <w:rPr>
          <w:rFonts w:ascii="Arial" w:eastAsia="Arial" w:hAnsi="Arial" w:cs="Arial"/>
          <w:b/>
          <w:bCs/>
          <w:color w:val="000000"/>
        </w:rPr>
        <w:t xml:space="preserve">Las decisiones que la Presidencia adopte al amparo de la práctica parlamentaria no serán impugnables mediante moción alguna, siempre que no contravengan de manera directa las disposiciones expresas de este reglamento o de la Ley de Gobierno del Poder Legislativo del Estado de Yucatán. </w:t>
      </w:r>
    </w:p>
    <w:p w14:paraId="6436D6DA" w14:textId="77777777" w:rsidR="00114F40" w:rsidRDefault="00114F40" w:rsidP="00114F40">
      <w:pPr>
        <w:pBdr>
          <w:top w:val="nil"/>
          <w:left w:val="nil"/>
          <w:bottom w:val="nil"/>
          <w:right w:val="nil"/>
          <w:between w:val="nil"/>
        </w:pBdr>
        <w:spacing w:before="100" w:after="100" w:line="360" w:lineRule="auto"/>
        <w:ind w:firstLine="708"/>
        <w:jc w:val="both"/>
        <w:rPr>
          <w:rFonts w:ascii="Arial" w:eastAsia="Arial" w:hAnsi="Arial" w:cs="Arial"/>
          <w:color w:val="000000"/>
        </w:rPr>
      </w:pPr>
    </w:p>
    <w:p w14:paraId="26DD540B" w14:textId="77777777" w:rsidR="001D5002" w:rsidRDefault="00B870AB" w:rsidP="00114F40">
      <w:pPr>
        <w:spacing w:line="360" w:lineRule="auto"/>
        <w:jc w:val="both"/>
        <w:rPr>
          <w:rFonts w:ascii="Arial" w:eastAsia="Arial" w:hAnsi="Arial" w:cs="Arial"/>
        </w:rPr>
      </w:pPr>
      <w:r>
        <w:rPr>
          <w:rFonts w:ascii="Arial" w:eastAsia="Arial" w:hAnsi="Arial" w:cs="Arial"/>
          <w:b/>
          <w:bCs/>
        </w:rPr>
        <w:t>Artículo 185 ter. -</w:t>
      </w:r>
      <w:r>
        <w:rPr>
          <w:rFonts w:ascii="Arial" w:eastAsia="Arial" w:hAnsi="Arial" w:cs="Arial"/>
        </w:rPr>
        <w:t xml:space="preserve"> La Contraloría Interna, tendrá la organización y funciones que se establecen en la Ley, su reglamento, las demás normas aplicables, </w:t>
      </w:r>
      <w:r>
        <w:rPr>
          <w:rFonts w:ascii="Arial" w:eastAsia="Arial" w:hAnsi="Arial" w:cs="Arial"/>
          <w:b/>
          <w:bCs/>
        </w:rPr>
        <w:t>así como las atribuciones establecidas en el artículo 29 de la Ley de Transparencia y Acceso a la Información Pública del Estado de Yucatán.</w:t>
      </w:r>
    </w:p>
    <w:p w14:paraId="13EE0496" w14:textId="77777777" w:rsidR="001D5002" w:rsidRDefault="001D5002">
      <w:pPr>
        <w:jc w:val="both"/>
        <w:rPr>
          <w:rFonts w:ascii="Arial" w:eastAsia="Arial" w:hAnsi="Arial" w:cs="Arial"/>
        </w:rPr>
      </w:pPr>
    </w:p>
    <w:p w14:paraId="2D32B91F" w14:textId="77777777" w:rsidR="001D5002" w:rsidRPr="00114F40" w:rsidRDefault="00B870AB">
      <w:pPr>
        <w:pBdr>
          <w:top w:val="nil"/>
          <w:left w:val="nil"/>
          <w:bottom w:val="nil"/>
          <w:right w:val="nil"/>
          <w:between w:val="nil"/>
        </w:pBdr>
        <w:spacing w:before="100" w:after="100" w:line="360" w:lineRule="auto"/>
        <w:jc w:val="center"/>
        <w:rPr>
          <w:rFonts w:ascii="Arial" w:eastAsia="Arial" w:hAnsi="Arial" w:cs="Arial"/>
          <w:color w:val="000000"/>
        </w:rPr>
      </w:pPr>
      <w:r w:rsidRPr="00114F40">
        <w:rPr>
          <w:rFonts w:ascii="Arial" w:eastAsia="Arial" w:hAnsi="Arial" w:cs="Arial"/>
          <w:b/>
          <w:bCs/>
          <w:color w:val="000000"/>
        </w:rPr>
        <w:t>Artículos transitorios</w:t>
      </w:r>
    </w:p>
    <w:p w14:paraId="0DF4B0CF" w14:textId="77777777" w:rsidR="001D5002" w:rsidRPr="00114F40" w:rsidRDefault="00B870AB">
      <w:pPr>
        <w:tabs>
          <w:tab w:val="left" w:pos="4845"/>
        </w:tabs>
        <w:spacing w:line="276" w:lineRule="auto"/>
        <w:jc w:val="both"/>
        <w:rPr>
          <w:rFonts w:ascii="Arial" w:eastAsia="Arial" w:hAnsi="Arial" w:cs="Arial"/>
        </w:rPr>
      </w:pPr>
      <w:r w:rsidRPr="00114F40">
        <w:rPr>
          <w:rFonts w:ascii="Arial" w:eastAsia="Arial" w:hAnsi="Arial" w:cs="Arial"/>
          <w:b/>
          <w:bCs/>
        </w:rPr>
        <w:t>Entrada en vigor</w:t>
      </w:r>
    </w:p>
    <w:p w14:paraId="7F2FA0CE" w14:textId="219C3C64" w:rsidR="001D5002" w:rsidRPr="00114F40" w:rsidRDefault="00B870AB">
      <w:pPr>
        <w:tabs>
          <w:tab w:val="left" w:pos="4845"/>
        </w:tabs>
        <w:spacing w:line="276" w:lineRule="auto"/>
        <w:jc w:val="both"/>
        <w:rPr>
          <w:rFonts w:ascii="Arial" w:eastAsia="Arial" w:hAnsi="Arial" w:cs="Arial"/>
        </w:rPr>
      </w:pPr>
      <w:r w:rsidRPr="00114F40">
        <w:rPr>
          <w:rFonts w:ascii="Arial" w:eastAsia="Arial" w:hAnsi="Arial" w:cs="Arial"/>
          <w:b/>
          <w:bCs/>
        </w:rPr>
        <w:t>Artículo primero.</w:t>
      </w:r>
      <w:r w:rsidRPr="00114F40">
        <w:rPr>
          <w:rFonts w:ascii="Arial" w:eastAsia="Arial" w:hAnsi="Arial" w:cs="Arial"/>
        </w:rPr>
        <w:t xml:space="preserve"> El presente Decreto entrará en vigor al día siguiente de su publicación en el Diario Oficial del Estado de Yucatán</w:t>
      </w:r>
      <w:r w:rsidR="00EE7B8B">
        <w:rPr>
          <w:rFonts w:ascii="Arial" w:eastAsia="Arial" w:hAnsi="Arial" w:cs="Arial"/>
        </w:rPr>
        <w:t>.</w:t>
      </w:r>
    </w:p>
    <w:p w14:paraId="6138F419" w14:textId="77777777" w:rsidR="001D5002" w:rsidRPr="00114F40" w:rsidRDefault="001D5002">
      <w:pPr>
        <w:tabs>
          <w:tab w:val="left" w:pos="4845"/>
        </w:tabs>
        <w:spacing w:line="276" w:lineRule="auto"/>
        <w:jc w:val="both"/>
        <w:rPr>
          <w:rFonts w:ascii="Arial" w:eastAsia="Arial" w:hAnsi="Arial" w:cs="Arial"/>
        </w:rPr>
      </w:pPr>
    </w:p>
    <w:p w14:paraId="60F94742" w14:textId="77777777" w:rsidR="001D5002" w:rsidRPr="00114F40" w:rsidRDefault="00B870AB">
      <w:pPr>
        <w:tabs>
          <w:tab w:val="left" w:pos="4845"/>
        </w:tabs>
        <w:spacing w:line="276" w:lineRule="auto"/>
        <w:jc w:val="both"/>
        <w:rPr>
          <w:rFonts w:ascii="Arial" w:eastAsia="Arial" w:hAnsi="Arial" w:cs="Arial"/>
        </w:rPr>
      </w:pPr>
      <w:r w:rsidRPr="00114F40">
        <w:rPr>
          <w:rFonts w:ascii="Arial" w:eastAsia="Arial" w:hAnsi="Arial" w:cs="Arial"/>
          <w:b/>
          <w:bCs/>
        </w:rPr>
        <w:t>Asuntos en trámite</w:t>
      </w:r>
    </w:p>
    <w:p w14:paraId="562FA98F" w14:textId="77777777" w:rsidR="001D5002" w:rsidRPr="00114F40" w:rsidRDefault="00B870AB">
      <w:pPr>
        <w:tabs>
          <w:tab w:val="left" w:pos="4845"/>
        </w:tabs>
        <w:spacing w:line="276" w:lineRule="auto"/>
        <w:jc w:val="both"/>
        <w:rPr>
          <w:rFonts w:ascii="Arial" w:eastAsia="Arial" w:hAnsi="Arial" w:cs="Arial"/>
        </w:rPr>
      </w:pPr>
      <w:r w:rsidRPr="00114F40">
        <w:rPr>
          <w:rFonts w:ascii="Arial" w:eastAsia="Arial" w:hAnsi="Arial" w:cs="Arial"/>
          <w:b/>
          <w:bCs/>
        </w:rPr>
        <w:t>Artículo segundo.</w:t>
      </w:r>
      <w:r w:rsidRPr="00114F40">
        <w:rPr>
          <w:rFonts w:ascii="Arial" w:eastAsia="Arial" w:hAnsi="Arial" w:cs="Arial"/>
        </w:rPr>
        <w:t xml:space="preserve"> Los asuntos a los que alude el presente decreto que estén en trámite para su desahogo ante el Pleno de la legislatura se resolverán en los términos del presente decreto. </w:t>
      </w:r>
    </w:p>
    <w:p w14:paraId="7D88B314" w14:textId="77777777" w:rsidR="001D5002" w:rsidRPr="00114F40" w:rsidRDefault="001D5002">
      <w:pPr>
        <w:tabs>
          <w:tab w:val="left" w:pos="4845"/>
        </w:tabs>
        <w:spacing w:line="276" w:lineRule="auto"/>
        <w:jc w:val="both"/>
        <w:rPr>
          <w:rFonts w:ascii="Arial" w:eastAsia="Arial" w:hAnsi="Arial" w:cs="Arial"/>
        </w:rPr>
      </w:pPr>
    </w:p>
    <w:p w14:paraId="004B0832" w14:textId="77777777" w:rsidR="001D5002" w:rsidRPr="00114F40" w:rsidRDefault="00B870AB">
      <w:pPr>
        <w:tabs>
          <w:tab w:val="left" w:pos="4845"/>
        </w:tabs>
        <w:spacing w:line="276" w:lineRule="auto"/>
        <w:jc w:val="both"/>
        <w:rPr>
          <w:rFonts w:ascii="Arial" w:eastAsia="Arial" w:hAnsi="Arial" w:cs="Arial"/>
        </w:rPr>
      </w:pPr>
      <w:r w:rsidRPr="00114F40">
        <w:rPr>
          <w:rFonts w:ascii="Arial" w:eastAsia="Arial" w:hAnsi="Arial" w:cs="Arial"/>
          <w:b/>
          <w:bCs/>
        </w:rPr>
        <w:t>Derogación expresa</w:t>
      </w:r>
    </w:p>
    <w:p w14:paraId="59861871" w14:textId="77777777" w:rsidR="001D5002" w:rsidRDefault="00B870AB">
      <w:pPr>
        <w:tabs>
          <w:tab w:val="left" w:pos="4845"/>
        </w:tabs>
        <w:spacing w:line="276" w:lineRule="auto"/>
        <w:jc w:val="both"/>
        <w:rPr>
          <w:rFonts w:ascii="Arial" w:eastAsia="Arial" w:hAnsi="Arial" w:cs="Arial"/>
        </w:rPr>
      </w:pPr>
      <w:r w:rsidRPr="00114F40">
        <w:rPr>
          <w:rFonts w:ascii="Arial" w:eastAsia="Arial" w:hAnsi="Arial" w:cs="Arial"/>
          <w:b/>
          <w:bCs/>
        </w:rPr>
        <w:t>Artículo tercero.</w:t>
      </w:r>
      <w:r w:rsidRPr="00114F40">
        <w:rPr>
          <w:rFonts w:ascii="Arial" w:eastAsia="Arial" w:hAnsi="Arial" w:cs="Arial"/>
        </w:rPr>
        <w:t xml:space="preserve"> Se derogan todas las disposiciones de igual o menor rango que se opongan al presente decreto.</w:t>
      </w:r>
      <w:r>
        <w:rPr>
          <w:rFonts w:ascii="Arial" w:eastAsia="Arial" w:hAnsi="Arial" w:cs="Arial"/>
        </w:rPr>
        <w:t xml:space="preserve"> </w:t>
      </w:r>
    </w:p>
    <w:p w14:paraId="08647C53" w14:textId="77777777" w:rsidR="001D5002" w:rsidRDefault="001D5002">
      <w:pPr>
        <w:tabs>
          <w:tab w:val="left" w:pos="4845"/>
        </w:tabs>
        <w:spacing w:line="276" w:lineRule="auto"/>
        <w:jc w:val="both"/>
        <w:rPr>
          <w:rFonts w:ascii="Arial" w:eastAsia="Arial" w:hAnsi="Arial" w:cs="Arial"/>
        </w:rPr>
      </w:pPr>
    </w:p>
    <w:p w14:paraId="120232C7" w14:textId="77777777" w:rsidR="001D5002" w:rsidRDefault="001D5002">
      <w:pPr>
        <w:jc w:val="both"/>
        <w:rPr>
          <w:rFonts w:ascii="Arial" w:eastAsia="Arial" w:hAnsi="Arial" w:cs="Arial"/>
        </w:rPr>
      </w:pPr>
    </w:p>
    <w:p w14:paraId="7962BFBA" w14:textId="77777777" w:rsidR="001D5002" w:rsidRDefault="00B870AB">
      <w:pPr>
        <w:jc w:val="both"/>
        <w:rPr>
          <w:rFonts w:ascii="Arial" w:eastAsia="Arial" w:hAnsi="Arial" w:cs="Arial"/>
        </w:rPr>
      </w:pPr>
      <w:r>
        <w:rPr>
          <w:rFonts w:ascii="Arial" w:eastAsia="Arial" w:hAnsi="Arial" w:cs="Arial"/>
          <w:b/>
          <w:bCs/>
        </w:rPr>
        <w:t>DADO EN LA “SALA DE USOS MÚLTIPLES MAESTRA CONSUELO ZAVALA CASTILLO” DEL RECINTO DEL PODER LEGISLATIVO, EN LA CIUDAD DE MÉRIDA, YUCATÁN, A LOS DIEZ DÍAS DEL MES DE DICIEMBRE DEL AÑO DOS MIL VEINTICINCO.</w:t>
      </w:r>
    </w:p>
    <w:p w14:paraId="5C622EB1" w14:textId="77777777" w:rsidR="001D5002" w:rsidRDefault="001D5002">
      <w:pPr>
        <w:pBdr>
          <w:top w:val="nil"/>
          <w:left w:val="nil"/>
          <w:bottom w:val="nil"/>
          <w:right w:val="nil"/>
          <w:between w:val="nil"/>
        </w:pBdr>
        <w:spacing w:line="360" w:lineRule="auto"/>
        <w:ind w:right="51"/>
        <w:jc w:val="both"/>
        <w:rPr>
          <w:rFonts w:ascii="Arial" w:eastAsia="Arial" w:hAnsi="Arial" w:cs="Arial"/>
          <w:color w:val="000000"/>
        </w:rPr>
      </w:pPr>
    </w:p>
    <w:p w14:paraId="3DA61A56" w14:textId="77777777" w:rsidR="001D5002" w:rsidRDefault="00B870AB">
      <w:pPr>
        <w:jc w:val="center"/>
        <w:rPr>
          <w:rFonts w:ascii="Arial" w:eastAsia="Arial" w:hAnsi="Arial" w:cs="Arial"/>
        </w:rPr>
      </w:pPr>
      <w:r>
        <w:rPr>
          <w:rFonts w:ascii="Arial" w:eastAsia="Arial" w:hAnsi="Arial" w:cs="Arial"/>
          <w:b/>
          <w:bCs/>
        </w:rPr>
        <w:t xml:space="preserve">COMISIÓN PERMANENTE DE PUNTOS CONSTITUCIONALES </w:t>
      </w:r>
    </w:p>
    <w:p w14:paraId="284D2D82" w14:textId="77777777" w:rsidR="001D5002" w:rsidRDefault="00B870AB">
      <w:pPr>
        <w:jc w:val="center"/>
        <w:rPr>
          <w:rFonts w:ascii="Arial" w:eastAsia="Arial" w:hAnsi="Arial" w:cs="Arial"/>
        </w:rPr>
      </w:pPr>
      <w:r>
        <w:rPr>
          <w:rFonts w:ascii="Arial" w:eastAsia="Arial" w:hAnsi="Arial" w:cs="Arial"/>
          <w:b/>
          <w:bCs/>
        </w:rPr>
        <w:t>Y GOBERNACIÓN</w:t>
      </w:r>
    </w:p>
    <w:p w14:paraId="33D7AD05" w14:textId="77777777" w:rsidR="001D5002" w:rsidRDefault="001D5002">
      <w:pPr>
        <w:rPr>
          <w:sz w:val="16"/>
          <w:szCs w:val="16"/>
        </w:rPr>
      </w:pPr>
    </w:p>
    <w:tbl>
      <w:tblPr>
        <w:tblStyle w:val="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268"/>
        <w:gridCol w:w="2268"/>
        <w:gridCol w:w="2268"/>
      </w:tblGrid>
      <w:tr w:rsidR="001D5002" w14:paraId="591C37E3" w14:textId="77777777">
        <w:trPr>
          <w:tblHeader/>
          <w:jc w:val="center"/>
        </w:trPr>
        <w:tc>
          <w:tcPr>
            <w:tcW w:w="2405" w:type="dxa"/>
            <w:shd w:val="clear" w:color="auto" w:fill="A6A6A6"/>
            <w:vAlign w:val="center"/>
          </w:tcPr>
          <w:p w14:paraId="741555A8" w14:textId="77777777" w:rsidR="001D5002" w:rsidRDefault="00B870AB">
            <w:pPr>
              <w:spacing w:line="360" w:lineRule="auto"/>
              <w:ind w:right="51"/>
              <w:jc w:val="center"/>
              <w:rPr>
                <w:rFonts w:ascii="Arial" w:eastAsia="Arial" w:hAnsi="Arial" w:cs="Arial"/>
                <w:sz w:val="20"/>
                <w:szCs w:val="20"/>
              </w:rPr>
            </w:pPr>
            <w:r>
              <w:rPr>
                <w:rFonts w:ascii="Arial" w:eastAsia="Arial" w:hAnsi="Arial" w:cs="Arial"/>
                <w:b/>
                <w:bCs/>
                <w:smallCaps/>
                <w:sz w:val="20"/>
                <w:szCs w:val="20"/>
              </w:rPr>
              <w:t>CARGO</w:t>
            </w:r>
          </w:p>
        </w:tc>
        <w:tc>
          <w:tcPr>
            <w:tcW w:w="2268" w:type="dxa"/>
            <w:shd w:val="clear" w:color="auto" w:fill="A6A6A6"/>
            <w:vAlign w:val="center"/>
          </w:tcPr>
          <w:p w14:paraId="7183FAC0" w14:textId="77777777" w:rsidR="001D5002" w:rsidRDefault="00B870AB">
            <w:pPr>
              <w:spacing w:line="360" w:lineRule="auto"/>
              <w:ind w:right="51"/>
              <w:jc w:val="center"/>
              <w:rPr>
                <w:rFonts w:ascii="Arial" w:eastAsia="Arial" w:hAnsi="Arial" w:cs="Arial"/>
                <w:sz w:val="20"/>
                <w:szCs w:val="20"/>
              </w:rPr>
            </w:pPr>
            <w:r>
              <w:rPr>
                <w:rFonts w:ascii="Arial" w:eastAsia="Arial" w:hAnsi="Arial" w:cs="Arial"/>
                <w:b/>
                <w:bCs/>
                <w:smallCaps/>
                <w:sz w:val="20"/>
                <w:szCs w:val="20"/>
              </w:rPr>
              <w:t>NOMBRE</w:t>
            </w:r>
          </w:p>
        </w:tc>
        <w:tc>
          <w:tcPr>
            <w:tcW w:w="2268" w:type="dxa"/>
            <w:shd w:val="clear" w:color="auto" w:fill="A6A6A6"/>
            <w:vAlign w:val="center"/>
          </w:tcPr>
          <w:p w14:paraId="6F37872A" w14:textId="77777777" w:rsidR="001D5002" w:rsidRDefault="00B870AB">
            <w:pPr>
              <w:spacing w:line="360" w:lineRule="auto"/>
              <w:ind w:right="51"/>
              <w:jc w:val="center"/>
              <w:rPr>
                <w:rFonts w:ascii="Arial" w:eastAsia="Arial" w:hAnsi="Arial" w:cs="Arial"/>
                <w:sz w:val="20"/>
                <w:szCs w:val="20"/>
              </w:rPr>
            </w:pPr>
            <w:r>
              <w:rPr>
                <w:rFonts w:ascii="Arial" w:eastAsia="Arial" w:hAnsi="Arial" w:cs="Arial"/>
                <w:b/>
                <w:bCs/>
                <w:smallCaps/>
                <w:sz w:val="20"/>
                <w:szCs w:val="20"/>
              </w:rPr>
              <w:t>VOTO A FAVOR</w:t>
            </w:r>
          </w:p>
        </w:tc>
        <w:tc>
          <w:tcPr>
            <w:tcW w:w="2268" w:type="dxa"/>
            <w:shd w:val="clear" w:color="auto" w:fill="A6A6A6"/>
            <w:vAlign w:val="center"/>
          </w:tcPr>
          <w:p w14:paraId="40495A5B" w14:textId="77777777" w:rsidR="001D5002" w:rsidRDefault="00B870AB">
            <w:pPr>
              <w:spacing w:line="360" w:lineRule="auto"/>
              <w:ind w:right="51"/>
              <w:jc w:val="center"/>
              <w:rPr>
                <w:rFonts w:ascii="Arial" w:eastAsia="Arial" w:hAnsi="Arial" w:cs="Arial"/>
                <w:sz w:val="20"/>
                <w:szCs w:val="20"/>
              </w:rPr>
            </w:pPr>
            <w:r>
              <w:rPr>
                <w:rFonts w:ascii="Arial" w:eastAsia="Arial" w:hAnsi="Arial" w:cs="Arial"/>
                <w:b/>
                <w:bCs/>
                <w:smallCaps/>
                <w:sz w:val="20"/>
                <w:szCs w:val="20"/>
              </w:rPr>
              <w:t>VOTO EN CONTRA</w:t>
            </w:r>
          </w:p>
        </w:tc>
      </w:tr>
      <w:tr w:rsidR="001D5002" w14:paraId="1CE68F3E" w14:textId="77777777">
        <w:trPr>
          <w:jc w:val="center"/>
        </w:trPr>
        <w:tc>
          <w:tcPr>
            <w:tcW w:w="2405" w:type="dxa"/>
            <w:vAlign w:val="center"/>
          </w:tcPr>
          <w:p w14:paraId="2A98EFB6"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PRESIDENTE</w:t>
            </w:r>
          </w:p>
        </w:tc>
        <w:tc>
          <w:tcPr>
            <w:tcW w:w="2268" w:type="dxa"/>
            <w:vAlign w:val="center"/>
          </w:tcPr>
          <w:p w14:paraId="4830D057" w14:textId="77777777" w:rsidR="001D5002" w:rsidRDefault="00B870AB">
            <w:pPr>
              <w:ind w:right="51"/>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7C11DFF8" wp14:editId="54CA2427">
                  <wp:extent cx="843915" cy="800100"/>
                  <wp:effectExtent l="0" t="0" r="0" b="0"/>
                  <wp:docPr id="3" name="image3.png" descr="C:\Users\ivanna.cituk.CONGRESOYUCATAN\Desktop\DIPUTADOS LXIV LEGISLATURA\PUNTOS CONSTITUCIONALES Y GOBERNACIÓN\mariocuevas.jpg"/>
                  <wp:cNvGraphicFramePr/>
                  <a:graphic xmlns:a="http://schemas.openxmlformats.org/drawingml/2006/main">
                    <a:graphicData uri="http://schemas.openxmlformats.org/drawingml/2006/picture">
                      <pic:pic xmlns:pic="http://schemas.openxmlformats.org/drawingml/2006/picture">
                        <pic:nvPicPr>
                          <pic:cNvPr id="0" name="image3.png" descr="C:\Users\ivanna.cituk.CONGRESOYUCATAN\Desktop\DIPUTADOS LXIV LEGISLATURA\PUNTOS CONSTITUCIONALES Y GOBERNACIÓN\mariocuevas.jpg"/>
                          <pic:cNvPicPr preferRelativeResize="0"/>
                        </pic:nvPicPr>
                        <pic:blipFill>
                          <a:blip r:embed="rId7"/>
                          <a:srcRect/>
                          <a:stretch>
                            <a:fillRect/>
                          </a:stretch>
                        </pic:blipFill>
                        <pic:spPr>
                          <a:xfrm>
                            <a:off x="0" y="0"/>
                            <a:ext cx="843915" cy="800100"/>
                          </a:xfrm>
                          <a:prstGeom prst="rect">
                            <a:avLst/>
                          </a:prstGeom>
                          <a:ln/>
                        </pic:spPr>
                      </pic:pic>
                    </a:graphicData>
                  </a:graphic>
                </wp:inline>
              </w:drawing>
            </w:r>
          </w:p>
          <w:p w14:paraId="13B56E6D"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DIP. MARIO ALEJANDRO CUEVAS MENA.</w:t>
            </w:r>
          </w:p>
        </w:tc>
        <w:tc>
          <w:tcPr>
            <w:tcW w:w="2268" w:type="dxa"/>
            <w:vAlign w:val="center"/>
          </w:tcPr>
          <w:p w14:paraId="325A16C0" w14:textId="640E3322" w:rsidR="001D5002" w:rsidRPr="00014E70" w:rsidRDefault="00014E70">
            <w:pPr>
              <w:ind w:right="51"/>
              <w:jc w:val="center"/>
              <w:rPr>
                <w:rFonts w:ascii="Arial" w:eastAsia="Arial" w:hAnsi="Arial" w:cs="Arial"/>
                <w:b/>
                <w:sz w:val="20"/>
                <w:szCs w:val="20"/>
              </w:rPr>
            </w:pPr>
            <w:r w:rsidRPr="00014E70">
              <w:rPr>
                <w:rFonts w:ascii="Arial" w:eastAsia="Arial" w:hAnsi="Arial" w:cs="Arial"/>
                <w:b/>
                <w:sz w:val="20"/>
                <w:szCs w:val="20"/>
              </w:rPr>
              <w:t>RÚBRICA</w:t>
            </w:r>
          </w:p>
        </w:tc>
        <w:tc>
          <w:tcPr>
            <w:tcW w:w="2268" w:type="dxa"/>
            <w:vAlign w:val="center"/>
          </w:tcPr>
          <w:p w14:paraId="4527A4B5" w14:textId="77777777" w:rsidR="001D5002" w:rsidRDefault="001D5002">
            <w:pPr>
              <w:ind w:right="51"/>
              <w:jc w:val="center"/>
              <w:rPr>
                <w:rFonts w:ascii="Arial" w:eastAsia="Arial" w:hAnsi="Arial" w:cs="Arial"/>
                <w:sz w:val="20"/>
                <w:szCs w:val="20"/>
              </w:rPr>
            </w:pPr>
          </w:p>
        </w:tc>
      </w:tr>
      <w:tr w:rsidR="001D5002" w14:paraId="1522DF7E" w14:textId="77777777">
        <w:trPr>
          <w:jc w:val="center"/>
        </w:trPr>
        <w:tc>
          <w:tcPr>
            <w:tcW w:w="2405" w:type="dxa"/>
            <w:tcBorders>
              <w:bottom w:val="single" w:sz="4" w:space="0" w:color="000000"/>
            </w:tcBorders>
            <w:vAlign w:val="center"/>
          </w:tcPr>
          <w:p w14:paraId="54120F0B"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VICEPRESIDENTA</w:t>
            </w:r>
          </w:p>
        </w:tc>
        <w:tc>
          <w:tcPr>
            <w:tcW w:w="2268" w:type="dxa"/>
            <w:tcBorders>
              <w:bottom w:val="single" w:sz="4" w:space="0" w:color="000000"/>
            </w:tcBorders>
            <w:vAlign w:val="center"/>
          </w:tcPr>
          <w:p w14:paraId="53D80AD0"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69D9DE22" wp14:editId="662BA2C1">
                  <wp:extent cx="685800" cy="723900"/>
                  <wp:effectExtent l="0" t="0" r="0" b="0"/>
                  <wp:docPr id="5" name="image5.png" descr="C:\Users\ivanna.cituk.CONGRESOYUCATAN\Desktop\DIPUTADOS LXIV LEGISLATURA\PUNTOS CONSTITUCIONALES Y GOBERNACIÓN\claudiabaeza.jpg"/>
                  <wp:cNvGraphicFramePr/>
                  <a:graphic xmlns:a="http://schemas.openxmlformats.org/drawingml/2006/main">
                    <a:graphicData uri="http://schemas.openxmlformats.org/drawingml/2006/picture">
                      <pic:pic xmlns:pic="http://schemas.openxmlformats.org/drawingml/2006/picture">
                        <pic:nvPicPr>
                          <pic:cNvPr id="0" name="image5.png" descr="C:\Users\ivanna.cituk.CONGRESOYUCATAN\Desktop\DIPUTADOS LXIV LEGISLATURA\PUNTOS CONSTITUCIONALES Y GOBERNACIÓN\claudiabaeza.jpg"/>
                          <pic:cNvPicPr preferRelativeResize="0"/>
                        </pic:nvPicPr>
                        <pic:blipFill>
                          <a:blip r:embed="rId8"/>
                          <a:srcRect/>
                          <a:stretch>
                            <a:fillRect/>
                          </a:stretch>
                        </pic:blipFill>
                        <pic:spPr>
                          <a:xfrm>
                            <a:off x="0" y="0"/>
                            <a:ext cx="685800" cy="723900"/>
                          </a:xfrm>
                          <a:prstGeom prst="rect">
                            <a:avLst/>
                          </a:prstGeom>
                          <a:ln/>
                        </pic:spPr>
                      </pic:pic>
                    </a:graphicData>
                  </a:graphic>
                </wp:inline>
              </w:drawing>
            </w:r>
          </w:p>
          <w:p w14:paraId="2223A408" w14:textId="77777777" w:rsidR="001D5002" w:rsidRDefault="00B870AB">
            <w:pPr>
              <w:jc w:val="center"/>
              <w:rPr>
                <w:rFonts w:ascii="Arial" w:eastAsia="Arial" w:hAnsi="Arial" w:cs="Arial"/>
                <w:sz w:val="20"/>
                <w:szCs w:val="20"/>
              </w:rPr>
            </w:pPr>
            <w:r>
              <w:rPr>
                <w:rFonts w:ascii="Arial" w:eastAsia="Arial" w:hAnsi="Arial" w:cs="Arial"/>
                <w:b/>
                <w:bCs/>
                <w:sz w:val="20"/>
                <w:szCs w:val="20"/>
              </w:rPr>
              <w:t>DIP. CLAUDIA ESTEFANÍA BAEZA MARTÍNEZ.</w:t>
            </w:r>
          </w:p>
        </w:tc>
        <w:tc>
          <w:tcPr>
            <w:tcW w:w="2268" w:type="dxa"/>
            <w:tcBorders>
              <w:bottom w:val="single" w:sz="4" w:space="0" w:color="000000"/>
            </w:tcBorders>
            <w:vAlign w:val="center"/>
          </w:tcPr>
          <w:p w14:paraId="4C5891E9" w14:textId="77777777" w:rsidR="001D5002" w:rsidRDefault="001D5002">
            <w:pPr>
              <w:ind w:right="51"/>
              <w:jc w:val="center"/>
              <w:rPr>
                <w:rFonts w:ascii="Arial" w:eastAsia="Arial" w:hAnsi="Arial" w:cs="Arial"/>
                <w:sz w:val="20"/>
                <w:szCs w:val="20"/>
              </w:rPr>
            </w:pPr>
          </w:p>
        </w:tc>
        <w:tc>
          <w:tcPr>
            <w:tcW w:w="2268" w:type="dxa"/>
            <w:tcBorders>
              <w:bottom w:val="single" w:sz="4" w:space="0" w:color="000000"/>
            </w:tcBorders>
            <w:vAlign w:val="center"/>
          </w:tcPr>
          <w:p w14:paraId="7CE26AA9" w14:textId="77777777" w:rsidR="001D5002" w:rsidRDefault="001D5002">
            <w:pPr>
              <w:ind w:right="51"/>
              <w:jc w:val="center"/>
              <w:rPr>
                <w:rFonts w:ascii="Arial" w:eastAsia="Arial" w:hAnsi="Arial" w:cs="Arial"/>
                <w:sz w:val="20"/>
                <w:szCs w:val="20"/>
              </w:rPr>
            </w:pPr>
          </w:p>
        </w:tc>
      </w:tr>
      <w:tr w:rsidR="001D5002" w14:paraId="33F52BE3" w14:textId="77777777">
        <w:trPr>
          <w:trHeight w:val="714"/>
          <w:jc w:val="center"/>
        </w:trPr>
        <w:tc>
          <w:tcPr>
            <w:tcW w:w="2405" w:type="dxa"/>
            <w:tcBorders>
              <w:top w:val="nil"/>
            </w:tcBorders>
            <w:vAlign w:val="center"/>
          </w:tcPr>
          <w:p w14:paraId="75E48F41"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SECRETARIO</w:t>
            </w:r>
          </w:p>
        </w:tc>
        <w:tc>
          <w:tcPr>
            <w:tcW w:w="2268" w:type="dxa"/>
            <w:tcBorders>
              <w:top w:val="nil"/>
            </w:tcBorders>
            <w:vAlign w:val="center"/>
          </w:tcPr>
          <w:p w14:paraId="5C58B071"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330FAF3D" wp14:editId="7BC28AED">
                  <wp:extent cx="771525" cy="857250"/>
                  <wp:effectExtent l="0" t="0" r="9525" b="0"/>
                  <wp:docPr id="4" name="image4.png" descr="C:\Users\ivanna.cituk.CONGRESOYUCATAN\Desktop\DIPUTADOS LXIV LEGISLATURA\PUNTOS CONSTITUCIONALES Y GOBERNACIÓN\josebustillos.jpg"/>
                  <wp:cNvGraphicFramePr/>
                  <a:graphic xmlns:a="http://schemas.openxmlformats.org/drawingml/2006/main">
                    <a:graphicData uri="http://schemas.openxmlformats.org/drawingml/2006/picture">
                      <pic:pic xmlns:pic="http://schemas.openxmlformats.org/drawingml/2006/picture">
                        <pic:nvPicPr>
                          <pic:cNvPr id="0" name="image4.png" descr="C:\Users\ivanna.cituk.CONGRESOYUCATAN\Desktop\DIPUTADOS LXIV LEGISLATURA\PUNTOS CONSTITUCIONALES Y GOBERNACIÓN\josebustillos.jpg"/>
                          <pic:cNvPicPr preferRelativeResize="0"/>
                        </pic:nvPicPr>
                        <pic:blipFill>
                          <a:blip r:embed="rId9"/>
                          <a:srcRect/>
                          <a:stretch>
                            <a:fillRect/>
                          </a:stretch>
                        </pic:blipFill>
                        <pic:spPr>
                          <a:xfrm>
                            <a:off x="0" y="0"/>
                            <a:ext cx="771525" cy="857250"/>
                          </a:xfrm>
                          <a:prstGeom prst="rect">
                            <a:avLst/>
                          </a:prstGeom>
                          <a:ln/>
                        </pic:spPr>
                      </pic:pic>
                    </a:graphicData>
                  </a:graphic>
                </wp:inline>
              </w:drawing>
            </w:r>
          </w:p>
          <w:p w14:paraId="5175B465" w14:textId="77777777" w:rsidR="001D5002" w:rsidRDefault="00B870AB">
            <w:pPr>
              <w:jc w:val="center"/>
              <w:rPr>
                <w:rFonts w:ascii="Arial" w:eastAsia="Arial" w:hAnsi="Arial" w:cs="Arial"/>
                <w:sz w:val="20"/>
                <w:szCs w:val="20"/>
              </w:rPr>
            </w:pPr>
            <w:r>
              <w:rPr>
                <w:rFonts w:ascii="Arial" w:eastAsia="Arial" w:hAnsi="Arial" w:cs="Arial"/>
                <w:b/>
                <w:bCs/>
                <w:sz w:val="20"/>
                <w:szCs w:val="20"/>
              </w:rPr>
              <w:t>DIP. JOSÉ JULIÁN BUSTILLOS MEDINA.</w:t>
            </w:r>
          </w:p>
        </w:tc>
        <w:tc>
          <w:tcPr>
            <w:tcW w:w="2268" w:type="dxa"/>
            <w:tcBorders>
              <w:top w:val="nil"/>
            </w:tcBorders>
            <w:vAlign w:val="center"/>
          </w:tcPr>
          <w:p w14:paraId="2B965C43" w14:textId="5AD905B8"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tcBorders>
              <w:top w:val="nil"/>
            </w:tcBorders>
            <w:vAlign w:val="center"/>
          </w:tcPr>
          <w:p w14:paraId="425E3A73" w14:textId="77777777" w:rsidR="001D5002" w:rsidRDefault="001D5002">
            <w:pPr>
              <w:ind w:right="51"/>
              <w:jc w:val="center"/>
              <w:rPr>
                <w:rFonts w:ascii="Arial" w:eastAsia="Arial" w:hAnsi="Arial" w:cs="Arial"/>
                <w:sz w:val="20"/>
                <w:szCs w:val="20"/>
              </w:rPr>
            </w:pPr>
          </w:p>
        </w:tc>
      </w:tr>
      <w:tr w:rsidR="001D5002" w14:paraId="53A90F7A" w14:textId="77777777">
        <w:trPr>
          <w:jc w:val="center"/>
        </w:trPr>
        <w:tc>
          <w:tcPr>
            <w:tcW w:w="2405" w:type="dxa"/>
            <w:vAlign w:val="center"/>
          </w:tcPr>
          <w:p w14:paraId="5FA182B2"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SECRETARIO</w:t>
            </w:r>
          </w:p>
        </w:tc>
        <w:tc>
          <w:tcPr>
            <w:tcW w:w="2268" w:type="dxa"/>
            <w:vAlign w:val="center"/>
          </w:tcPr>
          <w:p w14:paraId="521FE1B2"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7158A925" wp14:editId="715DE4CD">
                  <wp:extent cx="790575" cy="723900"/>
                  <wp:effectExtent l="0" t="0" r="9525" b="0"/>
                  <wp:docPr id="7" name="image7.png" descr="C:\Users\ivanna.cituk.CONGRESOYUCATAN\Desktop\DIPUTADOS LXIV LEGISLATURA\PUNTOS CONSTITUCIONALES Y GOBERNACIÓN\rogertorres.jpg"/>
                  <wp:cNvGraphicFramePr/>
                  <a:graphic xmlns:a="http://schemas.openxmlformats.org/drawingml/2006/main">
                    <a:graphicData uri="http://schemas.openxmlformats.org/drawingml/2006/picture">
                      <pic:pic xmlns:pic="http://schemas.openxmlformats.org/drawingml/2006/picture">
                        <pic:nvPicPr>
                          <pic:cNvPr id="0" name="image7.png" descr="C:\Users\ivanna.cituk.CONGRESOYUCATAN\Desktop\DIPUTADOS LXIV LEGISLATURA\PUNTOS CONSTITUCIONALES Y GOBERNACIÓN\rogertorres.jpg"/>
                          <pic:cNvPicPr preferRelativeResize="0"/>
                        </pic:nvPicPr>
                        <pic:blipFill>
                          <a:blip r:embed="rId10"/>
                          <a:srcRect/>
                          <a:stretch>
                            <a:fillRect/>
                          </a:stretch>
                        </pic:blipFill>
                        <pic:spPr>
                          <a:xfrm>
                            <a:off x="0" y="0"/>
                            <a:ext cx="790575" cy="723900"/>
                          </a:xfrm>
                          <a:prstGeom prst="rect">
                            <a:avLst/>
                          </a:prstGeom>
                          <a:ln/>
                        </pic:spPr>
                      </pic:pic>
                    </a:graphicData>
                  </a:graphic>
                </wp:inline>
              </w:drawing>
            </w:r>
          </w:p>
          <w:p w14:paraId="2C224D3F" w14:textId="77777777" w:rsidR="001D5002" w:rsidRDefault="00B870AB">
            <w:pPr>
              <w:jc w:val="center"/>
              <w:rPr>
                <w:rFonts w:ascii="Arial" w:eastAsia="Arial" w:hAnsi="Arial" w:cs="Arial"/>
                <w:sz w:val="20"/>
                <w:szCs w:val="20"/>
              </w:rPr>
            </w:pPr>
            <w:r>
              <w:rPr>
                <w:rFonts w:ascii="Arial" w:eastAsia="Arial" w:hAnsi="Arial" w:cs="Arial"/>
                <w:b/>
                <w:bCs/>
                <w:sz w:val="20"/>
                <w:szCs w:val="20"/>
              </w:rPr>
              <w:t>DIP. ROGER JOSÉ TORRES PENICHE.</w:t>
            </w:r>
          </w:p>
        </w:tc>
        <w:tc>
          <w:tcPr>
            <w:tcW w:w="2268" w:type="dxa"/>
            <w:vAlign w:val="center"/>
          </w:tcPr>
          <w:p w14:paraId="3AFA2CB9" w14:textId="52BD4E77"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vAlign w:val="center"/>
          </w:tcPr>
          <w:p w14:paraId="2A928FF2" w14:textId="77777777" w:rsidR="001D5002" w:rsidRDefault="001D5002">
            <w:pPr>
              <w:ind w:right="51"/>
              <w:jc w:val="center"/>
              <w:rPr>
                <w:rFonts w:ascii="Arial" w:eastAsia="Arial" w:hAnsi="Arial" w:cs="Arial"/>
                <w:sz w:val="20"/>
                <w:szCs w:val="20"/>
              </w:rPr>
            </w:pPr>
          </w:p>
        </w:tc>
      </w:tr>
      <w:tr w:rsidR="001D5002" w14:paraId="08D6B879" w14:textId="77777777">
        <w:trPr>
          <w:jc w:val="center"/>
        </w:trPr>
        <w:tc>
          <w:tcPr>
            <w:tcW w:w="2405" w:type="dxa"/>
            <w:tcBorders>
              <w:bottom w:val="single" w:sz="4" w:space="0" w:color="000000"/>
            </w:tcBorders>
            <w:vAlign w:val="center"/>
          </w:tcPr>
          <w:p w14:paraId="17C3AFFD"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VOCAL</w:t>
            </w:r>
          </w:p>
        </w:tc>
        <w:tc>
          <w:tcPr>
            <w:tcW w:w="2268" w:type="dxa"/>
            <w:tcBorders>
              <w:bottom w:val="single" w:sz="4" w:space="0" w:color="000000"/>
            </w:tcBorders>
            <w:vAlign w:val="center"/>
          </w:tcPr>
          <w:p w14:paraId="49432944"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3A1F901F" wp14:editId="67E8D4A5">
                  <wp:extent cx="857250" cy="704850"/>
                  <wp:effectExtent l="0" t="0" r="0" b="0"/>
                  <wp:docPr id="6" name="image6.png" descr="C:\Users\ivanna.cituk.CONGRESOYUCATAN\Desktop\DIPUTADOS LXIV LEGISLATURA\PUNTOS CONSTITUCIONALES Y GOBERNACIÓN\wilmermonforte.jpg"/>
                  <wp:cNvGraphicFramePr/>
                  <a:graphic xmlns:a="http://schemas.openxmlformats.org/drawingml/2006/main">
                    <a:graphicData uri="http://schemas.openxmlformats.org/drawingml/2006/picture">
                      <pic:pic xmlns:pic="http://schemas.openxmlformats.org/drawingml/2006/picture">
                        <pic:nvPicPr>
                          <pic:cNvPr id="0" name="image6.png" descr="C:\Users\ivanna.cituk.CONGRESOYUCATAN\Desktop\DIPUTADOS LXIV LEGISLATURA\PUNTOS CONSTITUCIONALES Y GOBERNACIÓN\wilmermonforte.jpg"/>
                          <pic:cNvPicPr preferRelativeResize="0"/>
                        </pic:nvPicPr>
                        <pic:blipFill>
                          <a:blip r:embed="rId11"/>
                          <a:srcRect/>
                          <a:stretch>
                            <a:fillRect/>
                          </a:stretch>
                        </pic:blipFill>
                        <pic:spPr>
                          <a:xfrm>
                            <a:off x="0" y="0"/>
                            <a:ext cx="857250" cy="704850"/>
                          </a:xfrm>
                          <a:prstGeom prst="rect">
                            <a:avLst/>
                          </a:prstGeom>
                          <a:ln/>
                        </pic:spPr>
                      </pic:pic>
                    </a:graphicData>
                  </a:graphic>
                </wp:inline>
              </w:drawing>
            </w:r>
          </w:p>
          <w:p w14:paraId="309303ED" w14:textId="77777777" w:rsidR="001D5002" w:rsidRDefault="00B870AB">
            <w:pPr>
              <w:jc w:val="center"/>
              <w:rPr>
                <w:rFonts w:ascii="Arial" w:eastAsia="Arial" w:hAnsi="Arial" w:cs="Arial"/>
                <w:sz w:val="20"/>
                <w:szCs w:val="20"/>
              </w:rPr>
            </w:pPr>
            <w:r>
              <w:rPr>
                <w:rFonts w:ascii="Arial" w:eastAsia="Arial" w:hAnsi="Arial" w:cs="Arial"/>
                <w:b/>
                <w:bCs/>
                <w:smallCaps/>
                <w:sz w:val="20"/>
                <w:szCs w:val="20"/>
              </w:rPr>
              <w:t>DIP. WILMER MANUEL MONFORTE MARFIL.</w:t>
            </w:r>
          </w:p>
        </w:tc>
        <w:tc>
          <w:tcPr>
            <w:tcW w:w="2268" w:type="dxa"/>
            <w:tcBorders>
              <w:bottom w:val="single" w:sz="4" w:space="0" w:color="000000"/>
            </w:tcBorders>
            <w:vAlign w:val="center"/>
          </w:tcPr>
          <w:p w14:paraId="130A55FF" w14:textId="43781747"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tcBorders>
              <w:bottom w:val="single" w:sz="4" w:space="0" w:color="000000"/>
            </w:tcBorders>
            <w:vAlign w:val="center"/>
          </w:tcPr>
          <w:p w14:paraId="0E91C246" w14:textId="77777777" w:rsidR="001D5002" w:rsidRDefault="001D5002">
            <w:pPr>
              <w:ind w:right="51"/>
              <w:jc w:val="center"/>
              <w:rPr>
                <w:rFonts w:ascii="Arial" w:eastAsia="Arial" w:hAnsi="Arial" w:cs="Arial"/>
                <w:sz w:val="20"/>
                <w:szCs w:val="20"/>
              </w:rPr>
            </w:pPr>
          </w:p>
        </w:tc>
      </w:tr>
      <w:tr w:rsidR="001D5002" w14:paraId="23DA14EF" w14:textId="77777777">
        <w:trPr>
          <w:jc w:val="center"/>
        </w:trPr>
        <w:tc>
          <w:tcPr>
            <w:tcW w:w="2405" w:type="dxa"/>
            <w:tcBorders>
              <w:top w:val="nil"/>
              <w:bottom w:val="single" w:sz="4" w:space="0" w:color="000000"/>
            </w:tcBorders>
            <w:vAlign w:val="center"/>
          </w:tcPr>
          <w:p w14:paraId="306FA08C"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VOCAL</w:t>
            </w:r>
          </w:p>
        </w:tc>
        <w:tc>
          <w:tcPr>
            <w:tcW w:w="2268" w:type="dxa"/>
            <w:tcBorders>
              <w:top w:val="nil"/>
              <w:bottom w:val="single" w:sz="4" w:space="0" w:color="000000"/>
            </w:tcBorders>
            <w:vAlign w:val="center"/>
          </w:tcPr>
          <w:p w14:paraId="456EE33D"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6A32A08B" wp14:editId="3345F633">
                  <wp:extent cx="790575" cy="704850"/>
                  <wp:effectExtent l="0" t="0" r="9525" b="0"/>
                  <wp:docPr id="9" name="image9.png" descr="C:\Users\ivanna.cituk.CONGRESOYUCATAN\Desktop\DIPUTADOS LXIV LEGISLATURA\PUNTOS CONSTITUCIONALES Y GOBERNACIÓN\naomipeniche.jpg"/>
                  <wp:cNvGraphicFramePr/>
                  <a:graphic xmlns:a="http://schemas.openxmlformats.org/drawingml/2006/main">
                    <a:graphicData uri="http://schemas.openxmlformats.org/drawingml/2006/picture">
                      <pic:pic xmlns:pic="http://schemas.openxmlformats.org/drawingml/2006/picture">
                        <pic:nvPicPr>
                          <pic:cNvPr id="0" name="image9.png" descr="C:\Users\ivanna.cituk.CONGRESOYUCATAN\Desktop\DIPUTADOS LXIV LEGISLATURA\PUNTOS CONSTITUCIONALES Y GOBERNACIÓN\naomipeniche.jpg"/>
                          <pic:cNvPicPr preferRelativeResize="0"/>
                        </pic:nvPicPr>
                        <pic:blipFill>
                          <a:blip r:embed="rId12"/>
                          <a:srcRect/>
                          <a:stretch>
                            <a:fillRect/>
                          </a:stretch>
                        </pic:blipFill>
                        <pic:spPr>
                          <a:xfrm>
                            <a:off x="0" y="0"/>
                            <a:ext cx="790575" cy="704850"/>
                          </a:xfrm>
                          <a:prstGeom prst="rect">
                            <a:avLst/>
                          </a:prstGeom>
                          <a:ln/>
                        </pic:spPr>
                      </pic:pic>
                    </a:graphicData>
                  </a:graphic>
                </wp:inline>
              </w:drawing>
            </w:r>
          </w:p>
          <w:p w14:paraId="4A1086D5" w14:textId="77777777" w:rsidR="001D5002" w:rsidRDefault="00B870AB">
            <w:pPr>
              <w:jc w:val="center"/>
              <w:rPr>
                <w:rFonts w:ascii="Arial" w:eastAsia="Arial" w:hAnsi="Arial" w:cs="Arial"/>
                <w:sz w:val="20"/>
                <w:szCs w:val="20"/>
              </w:rPr>
            </w:pPr>
            <w:r>
              <w:rPr>
                <w:rFonts w:ascii="Arial" w:eastAsia="Arial" w:hAnsi="Arial" w:cs="Arial"/>
                <w:b/>
                <w:bCs/>
                <w:smallCaps/>
                <w:sz w:val="20"/>
                <w:szCs w:val="20"/>
              </w:rPr>
              <w:t>DIP. NAOMI RAQUEL PENICHE LÓPEZ.</w:t>
            </w:r>
          </w:p>
        </w:tc>
        <w:tc>
          <w:tcPr>
            <w:tcW w:w="2268" w:type="dxa"/>
            <w:tcBorders>
              <w:top w:val="nil"/>
              <w:bottom w:val="single" w:sz="4" w:space="0" w:color="000000"/>
            </w:tcBorders>
            <w:vAlign w:val="center"/>
          </w:tcPr>
          <w:p w14:paraId="771173E4" w14:textId="7121D5C8"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tcBorders>
              <w:top w:val="nil"/>
              <w:bottom w:val="single" w:sz="4" w:space="0" w:color="000000"/>
            </w:tcBorders>
            <w:vAlign w:val="center"/>
          </w:tcPr>
          <w:p w14:paraId="7397DBD9" w14:textId="77777777" w:rsidR="001D5002" w:rsidRDefault="001D5002">
            <w:pPr>
              <w:ind w:right="51"/>
              <w:jc w:val="center"/>
              <w:rPr>
                <w:rFonts w:ascii="Arial" w:eastAsia="Arial" w:hAnsi="Arial" w:cs="Arial"/>
                <w:sz w:val="20"/>
                <w:szCs w:val="20"/>
              </w:rPr>
            </w:pPr>
          </w:p>
        </w:tc>
      </w:tr>
      <w:tr w:rsidR="001D5002" w14:paraId="3341FCE5" w14:textId="77777777">
        <w:trPr>
          <w:jc w:val="center"/>
        </w:trPr>
        <w:tc>
          <w:tcPr>
            <w:tcW w:w="2405" w:type="dxa"/>
            <w:tcBorders>
              <w:top w:val="nil"/>
              <w:bottom w:val="single" w:sz="4" w:space="0" w:color="000000"/>
            </w:tcBorders>
            <w:vAlign w:val="center"/>
          </w:tcPr>
          <w:p w14:paraId="0061ED78"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VOCAL</w:t>
            </w:r>
          </w:p>
        </w:tc>
        <w:tc>
          <w:tcPr>
            <w:tcW w:w="2268" w:type="dxa"/>
            <w:tcBorders>
              <w:top w:val="nil"/>
              <w:bottom w:val="single" w:sz="4" w:space="0" w:color="000000"/>
            </w:tcBorders>
            <w:vAlign w:val="center"/>
          </w:tcPr>
          <w:p w14:paraId="47DFC380"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1E02C61D" wp14:editId="6B771A3A">
                  <wp:extent cx="742950" cy="742950"/>
                  <wp:effectExtent l="0" t="0" r="0" b="0"/>
                  <wp:docPr id="8" name="image8.png" descr="C:\Users\ivanna.cituk.CONGRESOYUCATAN\Desktop\DIPUTADOS LXIV LEGISLATURA\PUNTOS CONSTITUCIONALES Y GOBERNACIÓN\gasparquintal.jpg"/>
                  <wp:cNvGraphicFramePr/>
                  <a:graphic xmlns:a="http://schemas.openxmlformats.org/drawingml/2006/main">
                    <a:graphicData uri="http://schemas.openxmlformats.org/drawingml/2006/picture">
                      <pic:pic xmlns:pic="http://schemas.openxmlformats.org/drawingml/2006/picture">
                        <pic:nvPicPr>
                          <pic:cNvPr id="0" name="image8.png" descr="C:\Users\ivanna.cituk.CONGRESOYUCATAN\Desktop\DIPUTADOS LXIV LEGISLATURA\PUNTOS CONSTITUCIONALES Y GOBERNACIÓN\gasparquintal.jpg"/>
                          <pic:cNvPicPr preferRelativeResize="0"/>
                        </pic:nvPicPr>
                        <pic:blipFill>
                          <a:blip r:embed="rId13"/>
                          <a:srcRect/>
                          <a:stretch>
                            <a:fillRect/>
                          </a:stretch>
                        </pic:blipFill>
                        <pic:spPr>
                          <a:xfrm>
                            <a:off x="0" y="0"/>
                            <a:ext cx="742950" cy="742950"/>
                          </a:xfrm>
                          <a:prstGeom prst="rect">
                            <a:avLst/>
                          </a:prstGeom>
                          <a:ln/>
                        </pic:spPr>
                      </pic:pic>
                    </a:graphicData>
                  </a:graphic>
                </wp:inline>
              </w:drawing>
            </w:r>
          </w:p>
          <w:p w14:paraId="6E5BD419" w14:textId="77777777" w:rsidR="001D5002" w:rsidRDefault="00B870AB">
            <w:pPr>
              <w:jc w:val="center"/>
              <w:rPr>
                <w:rFonts w:ascii="Arial" w:eastAsia="Arial" w:hAnsi="Arial" w:cs="Arial"/>
                <w:sz w:val="20"/>
                <w:szCs w:val="20"/>
              </w:rPr>
            </w:pPr>
            <w:r>
              <w:rPr>
                <w:rFonts w:ascii="Arial" w:eastAsia="Arial" w:hAnsi="Arial" w:cs="Arial"/>
                <w:b/>
                <w:bCs/>
                <w:smallCaps/>
                <w:sz w:val="20"/>
                <w:szCs w:val="20"/>
              </w:rPr>
              <w:t>DIP. GASPAR ARMANDO QUINTAL PARRA.</w:t>
            </w:r>
          </w:p>
        </w:tc>
        <w:tc>
          <w:tcPr>
            <w:tcW w:w="2268" w:type="dxa"/>
            <w:tcBorders>
              <w:top w:val="nil"/>
              <w:bottom w:val="single" w:sz="4" w:space="0" w:color="000000"/>
            </w:tcBorders>
            <w:vAlign w:val="center"/>
          </w:tcPr>
          <w:p w14:paraId="53E4C010" w14:textId="77777777" w:rsidR="001D5002" w:rsidRDefault="001D5002">
            <w:pPr>
              <w:ind w:right="51"/>
              <w:jc w:val="center"/>
              <w:rPr>
                <w:rFonts w:ascii="Arial" w:eastAsia="Arial" w:hAnsi="Arial" w:cs="Arial"/>
                <w:sz w:val="20"/>
                <w:szCs w:val="20"/>
              </w:rPr>
            </w:pPr>
          </w:p>
        </w:tc>
        <w:tc>
          <w:tcPr>
            <w:tcW w:w="2268" w:type="dxa"/>
            <w:tcBorders>
              <w:top w:val="nil"/>
              <w:bottom w:val="single" w:sz="4" w:space="0" w:color="000000"/>
            </w:tcBorders>
            <w:vAlign w:val="center"/>
          </w:tcPr>
          <w:p w14:paraId="09A8FEC2" w14:textId="77777777" w:rsidR="001D5002" w:rsidRDefault="001D5002">
            <w:pPr>
              <w:ind w:right="51"/>
              <w:jc w:val="center"/>
              <w:rPr>
                <w:rFonts w:ascii="Arial" w:eastAsia="Arial" w:hAnsi="Arial" w:cs="Arial"/>
                <w:sz w:val="20"/>
                <w:szCs w:val="20"/>
              </w:rPr>
            </w:pPr>
          </w:p>
        </w:tc>
      </w:tr>
      <w:tr w:rsidR="001D5002" w14:paraId="7145EF6D" w14:textId="77777777">
        <w:trPr>
          <w:jc w:val="center"/>
        </w:trPr>
        <w:tc>
          <w:tcPr>
            <w:tcW w:w="9209" w:type="dxa"/>
            <w:gridSpan w:val="4"/>
            <w:tcBorders>
              <w:top w:val="single" w:sz="4" w:space="0" w:color="000000"/>
              <w:left w:val="nil"/>
              <w:bottom w:val="nil"/>
              <w:right w:val="nil"/>
            </w:tcBorders>
            <w:vAlign w:val="center"/>
          </w:tcPr>
          <w:p w14:paraId="058F9B50" w14:textId="77777777" w:rsidR="001D5002" w:rsidRDefault="00B870AB">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i/>
                <w:iCs/>
                <w:color w:val="000000"/>
                <w:sz w:val="18"/>
                <w:szCs w:val="18"/>
              </w:rPr>
              <w:t>Esta hoja de firmas pertenece al Dictamen que contiene el proyecto de Decreto por el que se reforman, adicionan y derogan diversas disposiciones de la Ley de Gobierno del Poder Legislativo y el Reglamento de la Ley De Gobierno Del Poder Legislativo, ambos del Estado de Yucatán, en Materia de Economía Procesal e Inclusión Normativa.</w:t>
            </w:r>
          </w:p>
        </w:tc>
      </w:tr>
      <w:tr w:rsidR="001D5002" w14:paraId="7E2E92E1" w14:textId="77777777">
        <w:trPr>
          <w:jc w:val="center"/>
        </w:trPr>
        <w:tc>
          <w:tcPr>
            <w:tcW w:w="2405" w:type="dxa"/>
            <w:tcBorders>
              <w:top w:val="nil"/>
              <w:bottom w:val="single" w:sz="4" w:space="0" w:color="000000"/>
            </w:tcBorders>
            <w:vAlign w:val="center"/>
          </w:tcPr>
          <w:p w14:paraId="22FF1E9D"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VOCAL</w:t>
            </w:r>
          </w:p>
        </w:tc>
        <w:tc>
          <w:tcPr>
            <w:tcW w:w="2268" w:type="dxa"/>
            <w:tcBorders>
              <w:top w:val="nil"/>
              <w:bottom w:val="single" w:sz="4" w:space="0" w:color="000000"/>
            </w:tcBorders>
            <w:vAlign w:val="center"/>
          </w:tcPr>
          <w:p w14:paraId="304623CF"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53361F27" wp14:editId="5E55ED37">
                  <wp:extent cx="999490" cy="894080"/>
                  <wp:effectExtent l="0" t="0" r="0" b="0"/>
                  <wp:docPr id="11" name="image12.png" descr="C:\Users\ivanna.cituk.CONGRESOYUCATAN\Desktop\DIPUTADOS LXIV LEGISLATURA\PUNTOS CONSTITUCIONALES Y GOBERNACIÓN\javierosante.jpg"/>
                  <wp:cNvGraphicFramePr/>
                  <a:graphic xmlns:a="http://schemas.openxmlformats.org/drawingml/2006/main">
                    <a:graphicData uri="http://schemas.openxmlformats.org/drawingml/2006/picture">
                      <pic:pic xmlns:pic="http://schemas.openxmlformats.org/drawingml/2006/picture">
                        <pic:nvPicPr>
                          <pic:cNvPr id="0" name="image12.png" descr="C:\Users\ivanna.cituk.CONGRESOYUCATAN\Desktop\DIPUTADOS LXIV LEGISLATURA\PUNTOS CONSTITUCIONALES Y GOBERNACIÓN\javierosante.jpg"/>
                          <pic:cNvPicPr preferRelativeResize="0"/>
                        </pic:nvPicPr>
                        <pic:blipFill>
                          <a:blip r:embed="rId14"/>
                          <a:srcRect/>
                          <a:stretch>
                            <a:fillRect/>
                          </a:stretch>
                        </pic:blipFill>
                        <pic:spPr>
                          <a:xfrm>
                            <a:off x="0" y="0"/>
                            <a:ext cx="999490" cy="894080"/>
                          </a:xfrm>
                          <a:prstGeom prst="rect">
                            <a:avLst/>
                          </a:prstGeom>
                          <a:ln/>
                        </pic:spPr>
                      </pic:pic>
                    </a:graphicData>
                  </a:graphic>
                </wp:inline>
              </w:drawing>
            </w:r>
          </w:p>
          <w:p w14:paraId="0DD88D93" w14:textId="77777777" w:rsidR="001D5002" w:rsidRDefault="00B870AB">
            <w:pPr>
              <w:jc w:val="center"/>
              <w:rPr>
                <w:rFonts w:ascii="Arial" w:eastAsia="Arial" w:hAnsi="Arial" w:cs="Arial"/>
                <w:sz w:val="20"/>
                <w:szCs w:val="20"/>
              </w:rPr>
            </w:pPr>
            <w:r>
              <w:rPr>
                <w:rFonts w:ascii="Arial" w:eastAsia="Arial" w:hAnsi="Arial" w:cs="Arial"/>
                <w:b/>
                <w:bCs/>
                <w:smallCaps/>
                <w:sz w:val="20"/>
                <w:szCs w:val="20"/>
              </w:rPr>
              <w:t>DIP. JAVIER RENÁN OSANTE SOLÍS.</w:t>
            </w:r>
          </w:p>
        </w:tc>
        <w:tc>
          <w:tcPr>
            <w:tcW w:w="2268" w:type="dxa"/>
            <w:tcBorders>
              <w:top w:val="nil"/>
              <w:bottom w:val="single" w:sz="4" w:space="0" w:color="000000"/>
            </w:tcBorders>
            <w:vAlign w:val="center"/>
          </w:tcPr>
          <w:p w14:paraId="47BBFDEB" w14:textId="3A135570"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tcBorders>
              <w:top w:val="nil"/>
              <w:bottom w:val="single" w:sz="4" w:space="0" w:color="000000"/>
            </w:tcBorders>
            <w:vAlign w:val="center"/>
          </w:tcPr>
          <w:p w14:paraId="1208FF15" w14:textId="77777777" w:rsidR="001D5002" w:rsidRDefault="001D5002">
            <w:pPr>
              <w:ind w:right="51"/>
              <w:jc w:val="center"/>
              <w:rPr>
                <w:rFonts w:ascii="Arial" w:eastAsia="Arial" w:hAnsi="Arial" w:cs="Arial"/>
                <w:sz w:val="20"/>
                <w:szCs w:val="20"/>
              </w:rPr>
            </w:pPr>
          </w:p>
        </w:tc>
      </w:tr>
      <w:tr w:rsidR="001D5002" w14:paraId="771FF492" w14:textId="77777777">
        <w:trPr>
          <w:jc w:val="center"/>
        </w:trPr>
        <w:tc>
          <w:tcPr>
            <w:tcW w:w="2405" w:type="dxa"/>
            <w:tcBorders>
              <w:top w:val="nil"/>
              <w:bottom w:val="single" w:sz="4" w:space="0" w:color="000000"/>
            </w:tcBorders>
            <w:vAlign w:val="center"/>
          </w:tcPr>
          <w:p w14:paraId="5BC5C22A" w14:textId="77777777" w:rsidR="001D5002" w:rsidRDefault="00B870AB">
            <w:pPr>
              <w:ind w:right="51"/>
              <w:jc w:val="center"/>
              <w:rPr>
                <w:rFonts w:ascii="Arial" w:eastAsia="Arial" w:hAnsi="Arial" w:cs="Arial"/>
                <w:sz w:val="20"/>
                <w:szCs w:val="20"/>
              </w:rPr>
            </w:pPr>
            <w:r>
              <w:rPr>
                <w:rFonts w:ascii="Arial" w:eastAsia="Arial" w:hAnsi="Arial" w:cs="Arial"/>
                <w:b/>
                <w:bCs/>
                <w:smallCaps/>
                <w:sz w:val="20"/>
                <w:szCs w:val="20"/>
              </w:rPr>
              <w:t>VOCAL</w:t>
            </w:r>
          </w:p>
        </w:tc>
        <w:tc>
          <w:tcPr>
            <w:tcW w:w="2268" w:type="dxa"/>
            <w:tcBorders>
              <w:top w:val="nil"/>
              <w:bottom w:val="single" w:sz="4" w:space="0" w:color="000000"/>
            </w:tcBorders>
            <w:vAlign w:val="center"/>
          </w:tcPr>
          <w:p w14:paraId="4CB6ABFC" w14:textId="77777777" w:rsidR="001D5002" w:rsidRDefault="00B870AB">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217A2CDA" wp14:editId="671760D0">
                  <wp:extent cx="942340" cy="942975"/>
                  <wp:effectExtent l="0" t="0" r="0" b="0"/>
                  <wp:docPr id="10" name="image11.png" descr="C:\Users\ivanna.cituk.CONGRESOYUCATAN\Desktop\DIPUTADOS LXIV LEGISLATURA\PUNTOS CONSTITUCIONALES Y GOBERNACIÓN\rafaelquintal.jpg"/>
                  <wp:cNvGraphicFramePr/>
                  <a:graphic xmlns:a="http://schemas.openxmlformats.org/drawingml/2006/main">
                    <a:graphicData uri="http://schemas.openxmlformats.org/drawingml/2006/picture">
                      <pic:pic xmlns:pic="http://schemas.openxmlformats.org/drawingml/2006/picture">
                        <pic:nvPicPr>
                          <pic:cNvPr id="0" name="image11.png" descr="C:\Users\ivanna.cituk.CONGRESOYUCATAN\Desktop\DIPUTADOS LXIV LEGISLATURA\PUNTOS CONSTITUCIONALES Y GOBERNACIÓN\rafaelquintal.jpg"/>
                          <pic:cNvPicPr preferRelativeResize="0"/>
                        </pic:nvPicPr>
                        <pic:blipFill>
                          <a:blip r:embed="rId15"/>
                          <a:srcRect/>
                          <a:stretch>
                            <a:fillRect/>
                          </a:stretch>
                        </pic:blipFill>
                        <pic:spPr>
                          <a:xfrm>
                            <a:off x="0" y="0"/>
                            <a:ext cx="942340" cy="942975"/>
                          </a:xfrm>
                          <a:prstGeom prst="rect">
                            <a:avLst/>
                          </a:prstGeom>
                          <a:ln/>
                        </pic:spPr>
                      </pic:pic>
                    </a:graphicData>
                  </a:graphic>
                </wp:inline>
              </w:drawing>
            </w:r>
          </w:p>
          <w:p w14:paraId="16F0BD83" w14:textId="77777777" w:rsidR="001D5002" w:rsidRDefault="00B870AB">
            <w:pPr>
              <w:jc w:val="center"/>
              <w:rPr>
                <w:rFonts w:ascii="Arial" w:eastAsia="Arial" w:hAnsi="Arial" w:cs="Arial"/>
                <w:sz w:val="20"/>
                <w:szCs w:val="20"/>
              </w:rPr>
            </w:pPr>
            <w:r>
              <w:rPr>
                <w:rFonts w:ascii="Arial" w:eastAsia="Arial" w:hAnsi="Arial" w:cs="Arial"/>
                <w:b/>
                <w:bCs/>
                <w:smallCaps/>
                <w:sz w:val="20"/>
                <w:szCs w:val="20"/>
              </w:rPr>
              <w:t>DIP. RAFAEL GERMÁN QUINTAL MEDINA.</w:t>
            </w:r>
          </w:p>
        </w:tc>
        <w:tc>
          <w:tcPr>
            <w:tcW w:w="2268" w:type="dxa"/>
            <w:tcBorders>
              <w:top w:val="nil"/>
              <w:bottom w:val="single" w:sz="4" w:space="0" w:color="000000"/>
            </w:tcBorders>
            <w:vAlign w:val="center"/>
          </w:tcPr>
          <w:p w14:paraId="2CA311B3" w14:textId="12C1863A" w:rsidR="001D5002" w:rsidRDefault="00014E70">
            <w:pPr>
              <w:ind w:right="51"/>
              <w:jc w:val="center"/>
              <w:rPr>
                <w:rFonts w:ascii="Arial" w:eastAsia="Arial" w:hAnsi="Arial" w:cs="Arial"/>
                <w:sz w:val="20"/>
                <w:szCs w:val="20"/>
              </w:rPr>
            </w:pPr>
            <w:r w:rsidRPr="00014E70">
              <w:rPr>
                <w:rFonts w:ascii="Arial" w:eastAsia="Arial" w:hAnsi="Arial" w:cs="Arial"/>
                <w:b/>
                <w:sz w:val="20"/>
                <w:szCs w:val="20"/>
              </w:rPr>
              <w:t>RÚBRICA</w:t>
            </w:r>
          </w:p>
        </w:tc>
        <w:tc>
          <w:tcPr>
            <w:tcW w:w="2268" w:type="dxa"/>
            <w:tcBorders>
              <w:top w:val="nil"/>
              <w:bottom w:val="single" w:sz="4" w:space="0" w:color="000000"/>
            </w:tcBorders>
            <w:vAlign w:val="center"/>
          </w:tcPr>
          <w:p w14:paraId="06EAC1F8" w14:textId="77777777" w:rsidR="001D5002" w:rsidRDefault="001D5002">
            <w:pPr>
              <w:ind w:right="51"/>
              <w:jc w:val="center"/>
              <w:rPr>
                <w:rFonts w:ascii="Arial" w:eastAsia="Arial" w:hAnsi="Arial" w:cs="Arial"/>
                <w:sz w:val="20"/>
                <w:szCs w:val="20"/>
              </w:rPr>
            </w:pPr>
          </w:p>
        </w:tc>
      </w:tr>
    </w:tbl>
    <w:p w14:paraId="1FF68F0F" w14:textId="77777777" w:rsidR="001D5002" w:rsidRDefault="00B870AB">
      <w:p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i/>
          <w:iCs/>
          <w:color w:val="000000"/>
          <w:sz w:val="18"/>
          <w:szCs w:val="18"/>
        </w:rPr>
        <w:t>Esta hoja de firmas pertenece al Dictamen que contiene el proyecto de Decreto por el que se reforman, adicionan y derogan diversas disposiciones de la Ley de Gobierno del Poder Legislativo y el Reglamento de la Ley De Gobierno Del Poder Legislativo, ambos del Estado de Yucatán, en Materia de Economía Procesal e Inclusión Normativa.</w:t>
      </w:r>
    </w:p>
    <w:p w14:paraId="50DAFC67" w14:textId="77777777" w:rsidR="001D5002" w:rsidRDefault="001D5002">
      <w:pPr>
        <w:rPr>
          <w:rFonts w:ascii="Arial" w:eastAsia="Arial" w:hAnsi="Arial" w:cs="Arial"/>
          <w:sz w:val="18"/>
          <w:szCs w:val="18"/>
        </w:rPr>
      </w:pPr>
    </w:p>
    <w:sectPr w:rsidR="001D5002">
      <w:headerReference w:type="default" r:id="rId16"/>
      <w:footerReference w:type="default" r:id="rId17"/>
      <w:pgSz w:w="12242" w:h="15842"/>
      <w:pgMar w:top="2693" w:right="1134" w:bottom="1418" w:left="1985" w:header="720" w:footer="10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F2E93" w14:textId="77777777" w:rsidR="002115F0" w:rsidRDefault="002115F0">
      <w:r>
        <w:separator/>
      </w:r>
    </w:p>
  </w:endnote>
  <w:endnote w:type="continuationSeparator" w:id="0">
    <w:p w14:paraId="4A55DB56" w14:textId="77777777" w:rsidR="002115F0" w:rsidRDefault="0021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4967FD3-8DBE-466E-858C-4432C9AA7D1D}"/>
  </w:font>
  <w:font w:name="Segoe UI">
    <w:panose1 w:val="020B0502040204020203"/>
    <w:charset w:val="00"/>
    <w:family w:val="swiss"/>
    <w:pitch w:val="variable"/>
    <w:sig w:usb0="E4002EFF" w:usb1="C000E47F" w:usb2="00000009" w:usb3="00000000" w:csb0="000001FF" w:csb1="00000000"/>
    <w:embedRegular r:id="rId2" w:fontKey="{A2CE47E6-7C54-438F-835A-B5EB7226358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FAB30B0-5DDD-4591-8AE7-E5815C723E90}"/>
  </w:font>
  <w:font w:name="Helvetica">
    <w:panose1 w:val="020B0604020202020204"/>
    <w:charset w:val="00"/>
    <w:family w:val="swiss"/>
    <w:pitch w:val="variable"/>
    <w:sig w:usb0="E0002EFF" w:usb1="C000785B" w:usb2="00000009" w:usb3="00000000" w:csb0="000001FF" w:csb1="00000000"/>
    <w:embedRegular r:id="rId4" w:fontKey="{2529A183-3A7D-435A-B128-41B164D4DA97}"/>
    <w:embedBold r:id="rId5" w:fontKey="{42D9C0C2-EA00-41DD-B20D-DC7213220541}"/>
  </w:font>
  <w:font w:name="Cambria">
    <w:panose1 w:val="02040503050406030204"/>
    <w:charset w:val="00"/>
    <w:family w:val="roman"/>
    <w:pitch w:val="variable"/>
    <w:sig w:usb0="E00006FF" w:usb1="420024FF" w:usb2="02000000" w:usb3="00000000" w:csb0="0000019F" w:csb1="00000000"/>
    <w:embedRegular r:id="rId6" w:fontKey="{F9E79B35-3B25-4DE6-9666-DBF4A985B2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06EDA" w14:textId="77777777" w:rsidR="00B870AB" w:rsidRDefault="00B870AB">
    <w:pPr>
      <w:widowControl w:val="0"/>
      <w:pBdr>
        <w:top w:val="nil"/>
        <w:left w:val="nil"/>
        <w:bottom w:val="nil"/>
        <w:right w:val="nil"/>
        <w:between w:val="nil"/>
      </w:pBdr>
      <w:tabs>
        <w:tab w:val="center" w:pos="4419"/>
        <w:tab w:val="right" w:pos="8838"/>
      </w:tabs>
      <w:ind w:right="334"/>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56EE2">
      <w:rPr>
        <w:rFonts w:ascii="Arial" w:eastAsia="Arial" w:hAnsi="Arial" w:cs="Arial"/>
        <w:noProof/>
        <w:color w:val="000000"/>
        <w:sz w:val="20"/>
        <w:szCs w:val="20"/>
      </w:rPr>
      <w:t>41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4CFA6" w14:textId="77777777" w:rsidR="002115F0" w:rsidRDefault="002115F0">
      <w:r>
        <w:separator/>
      </w:r>
    </w:p>
  </w:footnote>
  <w:footnote w:type="continuationSeparator" w:id="0">
    <w:p w14:paraId="56545908" w14:textId="77777777" w:rsidR="002115F0" w:rsidRDefault="002115F0">
      <w:r>
        <w:continuationSeparator/>
      </w:r>
    </w:p>
  </w:footnote>
  <w:footnote w:id="1">
    <w:p w14:paraId="5C54BCEC" w14:textId="77777777" w:rsidR="00B870AB" w:rsidRDefault="00B870AB">
      <w:pPr>
        <w:pBdr>
          <w:top w:val="nil"/>
          <w:left w:val="nil"/>
          <w:bottom w:val="nil"/>
          <w:right w:val="nil"/>
          <w:between w:val="nil"/>
        </w:pBdr>
        <w:spacing w:after="200" w:line="276" w:lineRule="auto"/>
        <w:jc w:val="both"/>
        <w:rPr>
          <w:rFonts w:ascii="Arial" w:eastAsia="Arial" w:hAnsi="Arial" w:cs="Arial"/>
          <w:color w:val="000000"/>
          <w:sz w:val="18"/>
          <w:szCs w:val="18"/>
          <w:highlight w:val="white"/>
        </w:rPr>
      </w:pPr>
      <w:r>
        <w:rPr>
          <w:vertAlign w:val="superscript"/>
        </w:rPr>
        <w:footnoteRef/>
      </w:r>
      <w:r>
        <w:rPr>
          <w:rFonts w:ascii="Calibri" w:eastAsia="Calibri" w:hAnsi="Calibri" w:cs="Calibri"/>
          <w:color w:val="000000"/>
          <w:sz w:val="20"/>
          <w:szCs w:val="20"/>
        </w:rPr>
        <w:t xml:space="preserve"> </w:t>
      </w:r>
      <w:r>
        <w:rPr>
          <w:rFonts w:ascii="Arial" w:eastAsia="Arial" w:hAnsi="Arial" w:cs="Arial"/>
          <w:color w:val="000000"/>
          <w:sz w:val="18"/>
          <w:szCs w:val="18"/>
        </w:rPr>
        <w:t xml:space="preserve">Tesis Plenaria P. XLIX/2008 </w:t>
      </w:r>
      <w:r>
        <w:rPr>
          <w:rFonts w:ascii="Arial" w:eastAsia="Arial" w:hAnsi="Arial" w:cs="Arial"/>
          <w:b/>
          <w:bCs/>
          <w:color w:val="000000"/>
          <w:sz w:val="18"/>
          <w:szCs w:val="18"/>
          <w:highlight w:val="white"/>
        </w:rPr>
        <w:t xml:space="preserve">"FORMALIDADES DEL PROCEDIMIENTO LEGISLATIVO. PRINCIPIOS QUE RIGEN EL EJERCICIO DE LA EVALUACIÓN DE SU POTENCIAL INVALIDATORIO. </w:t>
      </w:r>
      <w:r>
        <w:rPr>
          <w:rFonts w:ascii="Arial" w:eastAsia="Arial" w:hAnsi="Arial" w:cs="Arial"/>
          <w:color w:val="000000"/>
          <w:sz w:val="18"/>
          <w:szCs w:val="18"/>
          <w:highlight w:val="white"/>
        </w:rPr>
        <w:t>Cuando en una acción de inconstitucionalidad se analicen los conceptos de invalidez relativos a violaciones a las formalidades del procedimiento legislativo, dicho estudio debe partir de la consideración de las premisas básicas en las que se asienta la democracia liberal representativa como modelo de Estado, que es precisamente el acogido por la Constitución Política de los Estados Unidos Mexicanos en sus artículos 39, 40 y 41. A partir de ahí, debe vigilarse el cumplimiento de dos principios en el ejercicio de la evaluación del potencial invalidatorio de dichas irregularidades procedimentales: el de economía procesal, que apunta a la necesidad de no reponer innecesariamente etapas procedimentales cuando ello no redundaría en un cambio sustancial de la voluntad parlamentaria expresada y, por tanto, a no otorgar efecto invalidatorio a todas y cada una de las irregularidades procedimentales identificables en un caso concreto, y el de equidad en la deliberación parlamentaria, que apunta, por el contrario, a la necesidad de no considerar automáticamente irrelevantes todas las infracciones procedimentales producidas en una tramitación parlamentaria que culmina con la aprobación de una norma mediante una votación que respeta las previsiones legales al respecto." Consultable en el Semanario Judicial de la Federación y su Gaceta, Tomo XIV, agosto de 2001, página 438, de la Novena Época, con número de registro digital: 188907.</w:t>
      </w:r>
    </w:p>
    <w:p w14:paraId="39E099C1" w14:textId="77777777" w:rsidR="00B870AB" w:rsidRDefault="00B870AB">
      <w:pPr>
        <w:pBdr>
          <w:top w:val="nil"/>
          <w:left w:val="nil"/>
          <w:bottom w:val="nil"/>
          <w:right w:val="nil"/>
          <w:between w:val="nil"/>
        </w:pBdr>
        <w:spacing w:after="200" w:line="276" w:lineRule="auto"/>
        <w:rPr>
          <w:rFonts w:ascii="Calibri" w:eastAsia="Calibri" w:hAnsi="Calibri" w:cs="Calibri"/>
          <w:color w:val="000000"/>
          <w:sz w:val="20"/>
          <w:szCs w:val="20"/>
        </w:rPr>
      </w:pPr>
    </w:p>
  </w:footnote>
  <w:footnote w:id="2">
    <w:p w14:paraId="787749CA" w14:textId="77777777" w:rsidR="00B870AB" w:rsidRDefault="00B870AB">
      <w:pPr>
        <w:pBdr>
          <w:top w:val="nil"/>
          <w:left w:val="nil"/>
          <w:bottom w:val="nil"/>
          <w:right w:val="nil"/>
          <w:between w:val="nil"/>
        </w:pBdr>
        <w:spacing w:after="200" w:line="276"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18"/>
          <w:szCs w:val="18"/>
        </w:rPr>
        <w:t xml:space="preserve"> Suprema Corte de Justicia de la Nación (2023). </w:t>
      </w:r>
      <w:r>
        <w:rPr>
          <w:rFonts w:ascii="Arial" w:eastAsia="Arial" w:hAnsi="Arial" w:cs="Arial"/>
          <w:i/>
          <w:iCs/>
          <w:color w:val="000000"/>
          <w:sz w:val="18"/>
          <w:szCs w:val="18"/>
        </w:rPr>
        <w:t>Acción de inconstitucionalidad 29/2023 y sus acumuladas 30/2023, 31/2023, 37/2023, 38/2023, 43/2023 y 47/2023.</w:t>
      </w:r>
      <w:r>
        <w:rPr>
          <w:rFonts w:ascii="Arial" w:eastAsia="Arial" w:hAnsi="Arial" w:cs="Arial"/>
          <w:color w:val="000000"/>
          <w:sz w:val="18"/>
          <w:szCs w:val="18"/>
        </w:rPr>
        <w:t xml:space="preserve"> Pleno. Registro digital: 31646. </w:t>
      </w:r>
      <w:r>
        <w:rPr>
          <w:rFonts w:ascii="Arial" w:eastAsia="Arial" w:hAnsi="Arial" w:cs="Arial"/>
          <w:i/>
          <w:iCs/>
          <w:color w:val="000000"/>
          <w:sz w:val="18"/>
          <w:szCs w:val="18"/>
        </w:rPr>
        <w:t>Semanario Judicial de la Federación,</w:t>
      </w:r>
      <w:r>
        <w:rPr>
          <w:rFonts w:ascii="Arial" w:eastAsia="Arial" w:hAnsi="Arial" w:cs="Arial"/>
          <w:color w:val="000000"/>
          <w:sz w:val="18"/>
          <w:szCs w:val="18"/>
        </w:rPr>
        <w:t xml:space="preserve"> 4 de agosto de 2023. Recuperado de: https://chatgpt.com/c/68f65c6a-edbc-8333-a64b-e4baadeaa2d9</w:t>
      </w:r>
    </w:p>
  </w:footnote>
  <w:footnote w:id="3">
    <w:p w14:paraId="1356D1EE" w14:textId="77777777" w:rsidR="00B870AB" w:rsidRDefault="00B870AB">
      <w:pPr>
        <w:pBdr>
          <w:top w:val="nil"/>
          <w:left w:val="nil"/>
          <w:bottom w:val="nil"/>
          <w:right w:val="nil"/>
          <w:between w:val="nil"/>
        </w:pBdr>
        <w:spacing w:after="200" w:line="276"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Arial" w:eastAsia="Arial" w:hAnsi="Arial" w:cs="Arial"/>
          <w:color w:val="000000"/>
          <w:sz w:val="18"/>
          <w:szCs w:val="18"/>
        </w:rPr>
        <w:t xml:space="preserve">Pedroza de la Llave, S. T. (1997). </w:t>
      </w:r>
      <w:r>
        <w:rPr>
          <w:rFonts w:ascii="Arial" w:eastAsia="Arial" w:hAnsi="Arial" w:cs="Arial"/>
          <w:i/>
          <w:iCs/>
          <w:color w:val="000000"/>
          <w:sz w:val="18"/>
          <w:szCs w:val="18"/>
        </w:rPr>
        <w:t>El Congreso de la Unión. Integración y regulación.</w:t>
      </w:r>
      <w:r>
        <w:rPr>
          <w:rFonts w:ascii="Arial" w:eastAsia="Arial" w:hAnsi="Arial" w:cs="Arial"/>
          <w:color w:val="000000"/>
          <w:sz w:val="18"/>
          <w:szCs w:val="18"/>
        </w:rPr>
        <w:t xml:space="preserve"> México: Instituto de Investigaciones Jurídicas, Universidad Nacional Autónoma de México. ISBN 968-36-5960-8, p. 40. Recuperado de: https://archivos.juridicas.unam.mx/www/bjv/libros/1/142/5.pdf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184CA" w14:textId="77777777" w:rsidR="00B870AB" w:rsidRDefault="00B870AB">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13933E08" wp14:editId="12BF61D2">
              <wp:simplePos x="0" y="0"/>
              <wp:positionH relativeFrom="margin">
                <wp:posOffset>1383030</wp:posOffset>
              </wp:positionH>
              <wp:positionV relativeFrom="paragraph">
                <wp:posOffset>9525</wp:posOffset>
              </wp:positionV>
              <wp:extent cx="4000500" cy="98107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4000500" cy="981075"/>
                      </a:xfrm>
                      <a:prstGeom prst="rect">
                        <a:avLst/>
                      </a:prstGeom>
                      <a:solidFill>
                        <a:srgbClr val="FFFFFF"/>
                      </a:solidFill>
                      <a:ln w="9525" cap="flat" cmpd="sng" algn="ctr">
                        <a:noFill/>
                        <a:miter lim="800000"/>
                        <a:headEnd/>
                        <a:tailEnd/>
                      </a:ln>
                    </wps:spPr>
                    <wps:txbx>
                      <w:txbxContent>
                        <w:p w14:paraId="636BC3CD" w14:textId="77777777" w:rsidR="00B870AB" w:rsidRDefault="00190B7D" w:rsidP="00B870AB">
                          <w:pPr>
                            <w:suppressAutoHyphens/>
                            <w:spacing w:line="1" w:lineRule="atLeast"/>
                            <w:ind w:leftChars="-1" w:right="1378" w:hangingChars="1" w:hanging="2"/>
                            <w:jc w:val="center"/>
                            <w:textDirection w:val="btLr"/>
                            <w:textAlignment w:val="top"/>
                            <w:outlineLvl w:val="0"/>
                            <w:rPr>
                              <w:position w:val="-1"/>
                            </w:rPr>
                          </w:pPr>
                          <w:r>
                            <w:rPr>
                              <w:position w:val="-1"/>
                            </w:rPr>
                            <w:t xml:space="preserve">GOBIERNO DEL ESTADO DE </w:t>
                          </w:r>
                          <w:r w:rsidR="00B870AB">
                            <w:rPr>
                              <w:position w:val="-1"/>
                            </w:rPr>
                            <w:t>YUCATÁN</w:t>
                          </w:r>
                        </w:p>
                        <w:p w14:paraId="38437E4B" w14:textId="77777777" w:rsidR="00B870AB" w:rsidRDefault="00B870AB" w:rsidP="00B870AB">
                          <w:pPr>
                            <w:spacing w:line="1" w:lineRule="atLeast"/>
                            <w:ind w:right="1378"/>
                            <w:jc w:val="center"/>
                            <w:textDirection w:val="btLr"/>
                            <w:textAlignment w:val="top"/>
                            <w:outlineLvl w:val="0"/>
                            <w:rPr>
                              <w:position w:val="-1"/>
                            </w:rPr>
                          </w:pPr>
                          <w:r>
                            <w:rPr>
                              <w:b/>
                              <w:bCs/>
                              <w:position w:val="-1"/>
                            </w:rPr>
                            <w:t>PODER LEGISLATIVO</w:t>
                          </w:r>
                        </w:p>
                        <w:p w14:paraId="1050CF87" w14:textId="77777777" w:rsidR="00B870AB" w:rsidRDefault="00B870AB">
                          <w:pPr>
                            <w:suppressAutoHyphens/>
                            <w:spacing w:line="1" w:lineRule="atLeast"/>
                            <w:ind w:leftChars="-1" w:hangingChars="1" w:hanging="2"/>
                            <w:textDirection w:val="btLr"/>
                            <w:textAlignment w:val="top"/>
                            <w:outlineLvl w:val="0"/>
                            <w:rPr>
                              <w:position w:val="-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id="_x0000_t202" coordsize="21600,21600" o:spt="202" path="m,l,21600r21600,l21600,xe">
              <v:stroke joinstyle="miter"/>
              <v:path gradientshapeok="t" o:connecttype="rect"/>
            </v:shapetype>
            <v:shape id="Cuadro de texto 1" o:spid="_x0000_s1026" type="#_x0000_t202" style="position:absolute;margin-left:108.9pt;margin-top:.75pt;width:315pt;height:77.2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" stroked="f">
              <v:textbox>
                <w:txbxContent>
                  <w:p w:rsidR="00B870AB" w:rsidRDefault="00190B7D" w:rsidP="00B870AB">
                    <w:pPr>
                      <w:suppressAutoHyphens/>
                      <w:spacing w:line="1" w:lineRule="atLeast"/>
                      <w:ind w:leftChars="-1" w:right="1378" w:hangingChars="1" w:hanging="2"/>
                      <w:jc w:val="center"/>
                      <w:textDirection w:val="btLr"/>
                      <w:textAlignment w:val="top"/>
                      <w:outlineLvl w:val="0"/>
                      <w:rPr>
                        <w:position w:val="-1"/>
                      </w:rPr>
                    </w:pPr>
                    <w:r>
                      <w:rPr>
                        <w:position w:val="-1"/>
                      </w:rPr>
                      <w:t xml:space="preserve">GOBIERNO DEL ESTADO DE </w:t>
                    </w:r>
                    <w:r w:rsidR="00B870AB">
                      <w:rPr>
                        <w:position w:val="-1"/>
                      </w:rPr>
                      <w:t>YUCATÁN</w:t>
                    </w:r>
                  </w:p>
                  <w:p w:rsidR="00B870AB" w:rsidRDefault="00B870AB" w:rsidP="00B870AB">
                    <w:pPr>
                      <w:spacing w:line="1" w:lineRule="atLeast"/>
                      <w:ind w:right="1378"/>
                      <w:jc w:val="center"/>
                      <w:textDirection w:val="btLr"/>
                      <w:textAlignment w:val="top"/>
                      <w:outlineLvl w:val="0"/>
                      <w:rPr>
                        <w:position w:val="-1"/>
                      </w:rPr>
                    </w:pPr>
                    <w:r>
                      <w:rPr>
                        <w:b/>
                        <w:bCs/>
                        <w:position w:val="-1"/>
                      </w:rPr>
                      <w:t>PODER LEGISLATIVO</w:t>
                    </w:r>
                  </w:p>
                  <w:p w:rsidR="00B870AB" w:rsidRDefault="00B870AB">
                    <w:pPr>
                      <w:suppressAutoHyphens/>
                      <w:spacing w:line="1" w:lineRule="atLeast"/>
                      <w:ind w:leftChars="-1" w:hangingChars="1" w:hanging="2"/>
                      <w:textDirection w:val="btLr"/>
                      <w:textAlignment w:val="top"/>
                      <w:outlineLvl w:val="0"/>
                      <w:rPr>
                        <w:position w:val="-1"/>
                      </w:rPr>
                    </w:pPr>
                  </w:p>
                </w:txbxContent>
              </v:textbox>
              <w10:wrap anchorx="margin"/>
            </v:shape>
          </w:pict>
        </mc:Fallback>
      </mc:AlternateContent>
    </w:r>
    <w:r>
      <w:rPr>
        <w:noProof/>
      </w:rPr>
      <mc:AlternateContent>
        <mc:Choice Requires="wpg">
          <w:drawing>
            <wp:anchor distT="0" distB="0" distL="114300" distR="114300" simplePos="0" relativeHeight="251659264" behindDoc="0" locked="0" layoutInCell="1" hidden="0" allowOverlap="1" wp14:anchorId="53186F82" wp14:editId="6B7AAD3C">
              <wp:simplePos x="0" y="0"/>
              <wp:positionH relativeFrom="column">
                <wp:posOffset>-370838</wp:posOffset>
              </wp:positionH>
              <wp:positionV relativeFrom="paragraph">
                <wp:posOffset>-377188</wp:posOffset>
              </wp:positionV>
              <wp:extent cx="1569085" cy="1442720"/>
              <wp:effectExtent l="0" t="0" r="0" b="0"/>
              <wp:wrapNone/>
              <wp:docPr id="2" name="Grupo 2"/>
              <wp:cNvGraphicFramePr/>
              <a:graphic xmlns:a="http://schemas.openxmlformats.org/drawingml/2006/main">
                <a:graphicData uri="http://schemas.microsoft.com/office/word/2010/wordprocessingGroup">
                  <wpg:wgp>
                    <wpg:cNvGrpSpPr/>
                    <wpg:grpSpPr>
                      <a:xfrm>
                        <a:off x="0" y="0"/>
                        <a:ext cx="1569085" cy="1442720"/>
                        <a:chOff x="516" y="126"/>
                        <a:chExt cx="2471" cy="2272"/>
                      </a:xfrm>
                    </wpg:grpSpPr>
                    <wps:wsp>
                      <wps:cNvPr id="12" name="Cuadro de texto 12"/>
                      <wps:cNvSpPr txBox="1"/>
                      <wps:spPr>
                        <a:xfrm>
                          <a:off x="516" y="1802"/>
                          <a:ext cx="2471" cy="596"/>
                        </a:xfrm>
                        <a:prstGeom prst="rect">
                          <a:avLst/>
                        </a:prstGeom>
                        <a:solidFill>
                          <a:srgbClr val="FFFFFF"/>
                        </a:solidFill>
                        <a:ln w="9525" cap="flat" cmpd="sng" algn="ctr">
                          <a:noFill/>
                          <a:miter lim="800000"/>
                          <a:headEnd/>
                          <a:tailEnd/>
                        </a:ln>
                      </wps:spPr>
                      <wps:txbx>
                        <w:txbxContent>
                          <w:p w14:paraId="422C82F0" w14:textId="77777777"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LX</w:t>
                            </w:r>
                            <w:r>
                              <w:rPr>
                                <w:rFonts w:ascii="Helvetica" w:hAnsi="Helvetica"/>
                                <w:b/>
                                <w:position w:val="-1"/>
                                <w:sz w:val="13"/>
                                <w:szCs w:val="13"/>
                              </w:rPr>
                              <w:t xml:space="preserve">IV </w:t>
                            </w:r>
                            <w:r w:rsidRPr="01060364">
                              <w:rPr>
                                <w:rFonts w:ascii="Helvetica" w:hAnsi="Helvetica"/>
                                <w:b/>
                                <w:position w:val="-1"/>
                                <w:sz w:val="13"/>
                                <w:szCs w:val="13"/>
                              </w:rPr>
                              <w:t>LEGISLATURA DEL ESTADO</w:t>
                            </w:r>
                          </w:p>
                          <w:p w14:paraId="40A80854" w14:textId="77777777"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LIBRE Y SOBERANO DE</w:t>
                            </w:r>
                          </w:p>
                          <w:p w14:paraId="095461E0" w14:textId="77777777"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YUCATÁN</w:t>
                            </w:r>
                          </w:p>
                          <w:p w14:paraId="053B7C4F" w14:textId="77777777" w:rsidR="00B870AB" w:rsidRDefault="00B870AB">
                            <w:pPr>
                              <w:suppressAutoHyphens/>
                              <w:spacing w:line="1" w:lineRule="atLeast"/>
                              <w:ind w:leftChars="-1" w:hangingChars="1" w:hanging="2"/>
                              <w:textDirection w:val="btLr"/>
                              <w:textAlignment w:val="top"/>
                              <w:outlineLvl w:val="0"/>
                              <w:rPr>
                                <w:position w:val="-1"/>
                              </w:rPr>
                            </w:pPr>
                          </w:p>
                        </w:txbxContent>
                      </wps:txbx>
                      <wps:bodyPr/>
                    </wps:wsp>
                    <pic:pic xmlns:pic="http://schemas.openxmlformats.org/drawingml/2006/picture">
                      <pic:nvPicPr>
                        <pic:cNvPr id="1037" name="Picture1037" descr="escudo-nacional-mexicano-logo-vector"/>
                        <pic:cNvPicPr/>
                      </pic:nvPicPr>
                      <pic:blipFill>
                        <a:blip r:embed="rId1"/>
                        <a:srcRect/>
                        <a:stretch>
                          <a:fillRect/>
                        </a:stretch>
                      </pic:blipFill>
                      <pic:spPr>
                        <a:xfrm>
                          <a:off x="699" y="126"/>
                          <a:ext cx="2087" cy="1985"/>
                        </a:xfrm>
                        <a:prstGeom prst="rect">
                          <a:avLst/>
                        </a:prstGeom>
                        <a:ln w="9525" cap="flat" cmpd="sng" algn="ctr">
                          <a:miter lim="800000"/>
                          <a:headEnd/>
                          <a:tailEnd/>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id="Grupo 2" o:spid="_x0000_s1027" style="position:absolute;margin-left:-29.2pt;margin-top:-29.7pt;width:123.55pt;height:113.6pt;z-index:251659264" coordorigin="516,126" coordsize="2471,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">
              <v:shape id="Cuadro de texto 12" o:spid="_x0000_s1028" type="#_x0000_t202" style="position:absolute;left:516;top:1802;width:247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LX</w:t>
                      </w:r>
                      <w:r>
                        <w:rPr>
                          <w:rFonts w:ascii="Helvetica" w:hAnsi="Helvetica"/>
                          <w:b/>
                          <w:position w:val="-1"/>
                          <w:sz w:val="13"/>
                          <w:szCs w:val="13"/>
                        </w:rPr>
                        <w:t xml:space="preserve">IV </w:t>
                      </w:r>
                      <w:r w:rsidRPr="01060364">
                        <w:rPr>
                          <w:rFonts w:ascii="Helvetica" w:hAnsi="Helvetica"/>
                          <w:b/>
                          <w:position w:val="-1"/>
                          <w:sz w:val="13"/>
                          <w:szCs w:val="13"/>
                        </w:rPr>
                        <w:t>LEGISLATURA DEL ESTADO</w:t>
                      </w:r>
                    </w:p>
                    <w:p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LIBRE Y SOBERANO DE</w:t>
                      </w:r>
                    </w:p>
                    <w:p w:rsidR="00B870AB" w:rsidRDefault="00B870AB" w:rsidP="00B870AB">
                      <w:pPr>
                        <w:suppressAutoHyphens/>
                        <w:spacing w:line="1" w:lineRule="atLeast"/>
                        <w:ind w:leftChars="-1" w:left="-1" w:hangingChars="1" w:hanging="1"/>
                        <w:jc w:val="center"/>
                        <w:textDirection w:val="btLr"/>
                        <w:textAlignment w:val="top"/>
                        <w:outlineLvl w:val="0"/>
                        <w:rPr>
                          <w:rFonts w:ascii="Helvetica" w:hAnsi="Helvetica"/>
                          <w:position w:val="-1"/>
                          <w:sz w:val="13"/>
                          <w:szCs w:val="13"/>
                        </w:rPr>
                      </w:pPr>
                      <w:r w:rsidRPr="01060364">
                        <w:rPr>
                          <w:rFonts w:ascii="Helvetica" w:hAnsi="Helvetica"/>
                          <w:b/>
                          <w:position w:val="-1"/>
                          <w:sz w:val="13"/>
                          <w:szCs w:val="13"/>
                        </w:rPr>
                        <w:t>YUCATÁN</w:t>
                      </w:r>
                    </w:p>
                    <w:p w:rsidR="00B870AB" w:rsidRDefault="00B870AB">
                      <w:pPr>
                        <w:suppressAutoHyphens/>
                        <w:spacing w:line="1" w:lineRule="atLeast"/>
                        <w:ind w:leftChars="-1" w:hangingChars="1" w:hanging="2"/>
                        <w:textDirection w:val="btLr"/>
                        <w:textAlignment w:val="top"/>
                        <w:outlineLvl w:val="0"/>
                        <w:rPr>
                          <w:position w:val="-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37" o:spid="_x0000_s1029" type="#_x0000_t75" alt="escudo-nacional-mexicano-logo-vector" style="position:absolute;left:699;top:126;width:2087;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RrXFAAAA3QAAAA8AAABkcnMvZG93bnJldi54bWxET01LAzEQvQv+hzBCL2KzraCyNi1FKPRQ&#10;Ct0K4m3YzG62JpO4Sbvbf28Ewds83ucsVqOz4kJ97DwrmE0LEMS11x23Ct6Pm4cXEDEha7SeScGV&#10;IqyWtzcLLLUf+ECXKrUih3AsUYFJKZRSxtqQwzj1gThzje8dpgz7VuoehxzurJwXxZN02HFuMBjo&#10;zVD9VZ2dgmYw+/V3aO39pqk+dqfT58F2QanJ3bh+BZFoTP/iP/dW5/nF4zP8fpN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Ua1xQAAAN0AAAAPAAAAAAAAAAAAAAAA&#10;AJ8CAABkcnMvZG93bnJldi54bWxQSwUGAAAAAAQABAD3AAAAkQMAAAAA&#10;">
                <v:imagedata r:id="rId2" o:title="escudo-nacional-mexicano-logo-vector"/>
              </v:shape>
            </v:group>
          </w:pict>
        </mc:Fallback>
      </mc:AlternateContent>
    </w:r>
  </w:p>
  <w:p w14:paraId="79903E61" w14:textId="77777777" w:rsidR="00B870AB" w:rsidRDefault="00B870AB"/>
  <w:p w14:paraId="2DB5F8F7" w14:textId="77777777" w:rsidR="00B870AB" w:rsidRDefault="00B870AB"/>
  <w:p w14:paraId="391CDA99" w14:textId="77777777" w:rsidR="00B870AB" w:rsidRDefault="00B870AB"/>
  <w:p w14:paraId="22FAE245" w14:textId="77777777" w:rsidR="00B870AB" w:rsidRDefault="00B870AB"/>
  <w:p w14:paraId="0DC73DDF" w14:textId="77777777" w:rsidR="00B870AB" w:rsidRDefault="00B870AB"/>
  <w:p w14:paraId="2F9D4E75" w14:textId="77777777" w:rsidR="00B870AB" w:rsidRDefault="00B870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02047"/>
    <w:multiLevelType w:val="multilevel"/>
    <w:tmpl w:val="FD9845F4"/>
    <w:lvl w:ilvl="0">
      <w:start w:val="1"/>
      <w:numFmt w:val="lowerLetter"/>
      <w:lvlText w:val="%1)"/>
      <w:lvlJc w:val="left"/>
      <w:pPr>
        <w:ind w:left="1068" w:hanging="360"/>
      </w:pPr>
      <w:rPr>
        <w:b w:val="0"/>
        <w:bCs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 w15:restartNumberingAfterBreak="0">
    <w:nsid w:val="442F056A"/>
    <w:multiLevelType w:val="multilevel"/>
    <w:tmpl w:val="BBD8D5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002"/>
    <w:rsid w:val="00014E70"/>
    <w:rsid w:val="00114F40"/>
    <w:rsid w:val="00190B7D"/>
    <w:rsid w:val="001D5002"/>
    <w:rsid w:val="002115F0"/>
    <w:rsid w:val="00232BA5"/>
    <w:rsid w:val="00270AB4"/>
    <w:rsid w:val="003846D8"/>
    <w:rsid w:val="003F4EF1"/>
    <w:rsid w:val="00473113"/>
    <w:rsid w:val="005A3722"/>
    <w:rsid w:val="00606410"/>
    <w:rsid w:val="00672DA8"/>
    <w:rsid w:val="00790A19"/>
    <w:rsid w:val="00856EE2"/>
    <w:rsid w:val="00933ED2"/>
    <w:rsid w:val="00AB3FA5"/>
    <w:rsid w:val="00B870AB"/>
    <w:rsid w:val="00BA747B"/>
    <w:rsid w:val="00BD39E2"/>
    <w:rsid w:val="00C03DD4"/>
    <w:rsid w:val="00D538F6"/>
    <w:rsid w:val="00EE7B8B"/>
    <w:rsid w:val="00EF3FB5"/>
    <w:rsid w:val="00EF5E3E"/>
    <w:rsid w:val="00F648C4"/>
    <w:rsid w:val="00F95822"/>
    <w:rsid w:val="00FC34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9C65F"/>
  <w15:docId w15:val="{1F4519A9-A4C6-4018-87A1-1ED265BB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B870AB"/>
    <w:pPr>
      <w:tabs>
        <w:tab w:val="center" w:pos="4419"/>
        <w:tab w:val="right" w:pos="8838"/>
      </w:tabs>
    </w:pPr>
  </w:style>
  <w:style w:type="character" w:customStyle="1" w:styleId="EncabezadoCar">
    <w:name w:val="Encabezado Car"/>
    <w:basedOn w:val="Fuentedeprrafopredeter"/>
    <w:link w:val="Encabezado"/>
    <w:uiPriority w:val="99"/>
    <w:rsid w:val="00B870AB"/>
  </w:style>
  <w:style w:type="paragraph" w:styleId="Piedepgina">
    <w:name w:val="footer"/>
    <w:basedOn w:val="Normal"/>
    <w:link w:val="PiedepginaCar"/>
    <w:uiPriority w:val="99"/>
    <w:unhideWhenUsed/>
    <w:rsid w:val="00B870AB"/>
    <w:pPr>
      <w:tabs>
        <w:tab w:val="center" w:pos="4419"/>
        <w:tab w:val="right" w:pos="8838"/>
      </w:tabs>
    </w:pPr>
  </w:style>
  <w:style w:type="character" w:customStyle="1" w:styleId="PiedepginaCar">
    <w:name w:val="Pie de página Car"/>
    <w:basedOn w:val="Fuentedeprrafopredeter"/>
    <w:link w:val="Piedepgina"/>
    <w:uiPriority w:val="99"/>
    <w:rsid w:val="00B870AB"/>
  </w:style>
  <w:style w:type="paragraph" w:styleId="Textodeglobo">
    <w:name w:val="Balloon Text"/>
    <w:basedOn w:val="Normal"/>
    <w:link w:val="TextodegloboCar"/>
    <w:uiPriority w:val="99"/>
    <w:semiHidden/>
    <w:unhideWhenUsed/>
    <w:rsid w:val="00B870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43</Pages>
  <Words>11269</Words>
  <Characters>61981</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Heyder Andrés Pérez Escalante</dc:creator>
  <cp:keywords/>
  <dc:description/>
  <cp:lastModifiedBy>Heyder Andrés Pérez Escalante</cp:lastModifiedBy>
  <cp:revision>9</cp:revision>
  <cp:lastPrinted>2025-12-10T23:08:00Z</cp:lastPrinted>
  <dcterms:created xsi:type="dcterms:W3CDTF">2025-12-10T15:40:00Z</dcterms:created>
  <dcterms:modified xsi:type="dcterms:W3CDTF">2025-12-11T18:02:00Z</dcterms:modified>
</cp:coreProperties>
</file>